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重庆博鼎建筑设计有限公司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郭熙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0"/>
                <w:szCs w:val="22"/>
              </w:rPr>
              <w:t>资质范围内建筑工程设计</w:t>
            </w:r>
            <w:bookmarkEnd w:id="6"/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zh-CN" w:eastAsia="zh-CN"/>
              </w:rPr>
            </w:pP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设计过程为关键过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程。制定项目实施控制程序对该过程进行控制。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存在风险：</w:t>
            </w:r>
            <w:r>
              <w:rPr>
                <w:rFonts w:hint="eastAsia"/>
                <w:b/>
                <w:sz w:val="20"/>
                <w:szCs w:val="22"/>
              </w:rPr>
              <w:t>建筑工程设计</w:t>
            </w:r>
            <w:r>
              <w:rPr>
                <w:rFonts w:hint="eastAsia"/>
                <w:b/>
                <w:sz w:val="20"/>
                <w:lang w:eastAsia="zh-CN"/>
              </w:rPr>
              <w:t>交付期履约、</w:t>
            </w:r>
            <w:r>
              <w:rPr>
                <w:rFonts w:hint="eastAsia"/>
                <w:b/>
                <w:sz w:val="20"/>
                <w:szCs w:val="22"/>
              </w:rPr>
              <w:t>建筑工程设计</w:t>
            </w:r>
            <w:r>
              <w:rPr>
                <w:rFonts w:hint="eastAsia"/>
                <w:b/>
                <w:sz w:val="20"/>
                <w:lang w:eastAsia="zh-CN"/>
              </w:rPr>
              <w:t>不能满足要求等。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GB50010-2010《混凝土结构设计规范》、GB50011-2010《建筑抗震设计规范》、GB50013-2006《室外给水设计规范》、GB50014-2006《室外排水设计规范》、《建筑工程设计文件编制深度规定》、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《民用建筑设计通则》GB50352-2005《建筑工程建筑面积计算规范》GB/T 50353-2013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检验项目及要求：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满足国家和施工图设计文件编制要求及客户要求。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</w:t>
      </w:r>
      <w:bookmarkStart w:id="7" w:name="_GoBack"/>
      <w:bookmarkEnd w:id="7"/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2020年12月15日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2020年12月15日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6A729F"/>
    <w:rsid w:val="72AE38E9"/>
    <w:rsid w:val="76C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2020-12-11T08:04:02Z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