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重庆乐乐环保科技有限公司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许可范围内的生活</w:t>
            </w:r>
            <w:bookmarkStart w:id="7" w:name="_GoBack"/>
            <w:bookmarkEnd w:id="7"/>
            <w:r>
              <w:rPr>
                <w:rFonts w:hint="eastAsia"/>
                <w:b/>
                <w:sz w:val="22"/>
                <w:szCs w:val="22"/>
              </w:rPr>
              <w:t>垃圾分类收集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合同或协议签订—垃圾分类智能回收设备的铺设--向居民宣传推广使用如何垃圾分类—居民分类投放垃圾—清运--垃圾分类复核分拣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无特殊过程。垃圾回收重量不符及分类存放不按规定进行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城市生活垃圾经营性清扫、收集、运输服务规范T/CASME 002-2018、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城市生活垃圾分类及其评价标准CJJ/T 102-2004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  <w:lang w:eastAsia="zh-CN"/>
              </w:rPr>
              <w:t>：垃圾分类的重量、垃圾分拣分类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1D1F54"/>
    <w:rsid w:val="400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2020-10-16T08:42:20Z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