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01" w:rightChars="191"/>
        <w:jc w:val="left"/>
        <w:rPr>
          <w:rFonts w:hint="eastAsia"/>
          <w:b/>
          <w:bCs/>
          <w:sz w:val="21"/>
          <w:szCs w:val="21"/>
          <w:u w:val="none"/>
        </w:rPr>
      </w:pPr>
      <w:r>
        <w:rPr>
          <w:rFonts w:hint="eastAsia" w:ascii="宋体" w:hAnsi="宋体"/>
          <w:b/>
          <w:bCs/>
          <w:sz w:val="21"/>
          <w:szCs w:val="21"/>
          <w:u w:val="none"/>
        </w:rPr>
        <w:t>编  号：</w:t>
      </w:r>
      <w:r>
        <w:rPr>
          <w:b/>
          <w:bCs/>
          <w:sz w:val="21"/>
          <w:szCs w:val="21"/>
          <w:u w:val="none"/>
        </w:rPr>
        <w:t xml:space="preserve"> </w:t>
      </w:r>
      <w:bookmarkStart w:id="0" w:name="合同编号"/>
      <w:r>
        <w:rPr>
          <w:rFonts w:hint="eastAsia"/>
          <w:b/>
          <w:bCs/>
          <w:sz w:val="21"/>
          <w:szCs w:val="21"/>
          <w:u w:val="none"/>
        </w:rPr>
        <w:t>0517-2020-Q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重庆洛克环保设备制造有限公司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p>
    <w:p>
      <w:pPr>
        <w:pStyle w:val="13"/>
        <w:ind w:left="0" w:leftChars="0" w:firstLine="0" w:firstLineChars="0"/>
        <w:jc w:val="left"/>
        <w:rPr>
          <w:rFonts w:hint="eastAsia"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 xml:space="preserve">适用的法律法规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其他</w:t>
      </w:r>
    </w:p>
    <w:p>
      <w:pPr>
        <w:pStyle w:val="13"/>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重庆洛克环保设备制造有限公司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重庆市璧山区青杠街道中大街626号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402760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重庆市璧山区青杠街道中大街626号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402760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糜仙洪</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17783106222</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糜仙洪</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糜仙洪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糜仙洪</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污水处理剂的加工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12.05.04</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污水处理剂的加工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widowControl/>
              <w:spacing w:line="400" w:lineRule="exact"/>
              <w:rPr>
                <w:b/>
                <w:color w:val="000000" w:themeColor="text1"/>
                <w:sz w:val="20"/>
                <w:szCs w:val="20"/>
              </w:rPr>
            </w:pPr>
            <w:r>
              <w:rPr>
                <w:rFonts w:hint="eastAsia" w:ascii="宋体" w:hAnsi="宋体" w:eastAsia="宋体" w:cs="Times New Roman"/>
                <w:color w:val="auto"/>
                <w:szCs w:val="21"/>
                <w:lang w:eastAsia="zh-CN"/>
              </w:rPr>
              <w:t>HG/T 5698-2020水处理剂 复合混凝剂、HG/T 4331-2012水处理剂混凝性能的评价方法、HG/T 2762-2019水处理剂产品分类和命名</w:t>
            </w:r>
            <w:r>
              <w:rPr>
                <w:rFonts w:hint="eastAsia" w:ascii="宋体" w:hAnsi="宋体" w:eastAsia="宋体" w:cs="Times New Roman"/>
                <w:color w:val="auto"/>
                <w:szCs w:val="21"/>
                <w:lang w:val="en-US" w:eastAsia="zh-CN"/>
              </w:rPr>
              <w:t>等</w:t>
            </w:r>
            <w:r>
              <w:rPr>
                <w:rFonts w:hint="eastAsia" w:ascii="宋体" w:hAnsi="宋体" w:eastAsia="宋体" w:cs="Times New Roman"/>
                <w:color w:val="auto"/>
                <w:szCs w:val="21"/>
                <w:lang w:eastAsia="zh-CN"/>
              </w:rPr>
              <w:t>标</w:t>
            </w:r>
            <w:r>
              <w:rPr>
                <w:rFonts w:hint="eastAsia" w:ascii="宋体" w:hAnsi="宋体"/>
                <w:color w:val="auto"/>
                <w:szCs w:val="21"/>
              </w:rPr>
              <w:t>准</w:t>
            </w:r>
            <w:r>
              <w:rPr>
                <w:rFonts w:hint="eastAsia"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 w:val="21"/>
                <w:szCs w:val="21"/>
              </w:rPr>
              <w:t>诚信为本</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以质量求生存</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科技创新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追求行业领先水平</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spacing w:line="240" w:lineRule="exact"/>
              <w:ind w:firstLine="210" w:firstLineChars="100"/>
              <w:rPr>
                <w:rFonts w:hint="default" w:ascii="宋体" w:hAnsi="宋体"/>
                <w:color w:val="000000" w:themeColor="text1"/>
                <w:lang w:val="en-US" w:eastAsia="zh-CN"/>
              </w:rPr>
            </w:pPr>
            <w:r>
              <w:rPr>
                <w:rFonts w:hint="eastAsia" w:ascii="宋体" w:hAnsi="宋体"/>
                <w:color w:val="000000" w:themeColor="text1"/>
                <w:lang w:val="en-US" w:eastAsia="zh-CN"/>
              </w:rPr>
              <w:t>下单</w:t>
            </w:r>
            <w:r>
              <w:rPr>
                <w:rFonts w:hint="eastAsia" w:ascii="宋体" w:hAnsi="宋体"/>
                <w:color w:val="000000" w:themeColor="text1"/>
                <w:lang w:eastAsia="zh-CN"/>
              </w:rPr>
              <w:t>—</w:t>
            </w:r>
            <w:r>
              <w:rPr>
                <w:rFonts w:hint="eastAsia" w:ascii="宋体" w:hAnsi="宋体"/>
                <w:color w:val="000000" w:themeColor="text1"/>
                <w:lang w:val="en-US" w:eastAsia="zh-CN"/>
              </w:rPr>
              <w:t>投离子水</w:t>
            </w:r>
            <w:r>
              <w:rPr>
                <w:rFonts w:hint="eastAsia" w:ascii="宋体" w:hAnsi="宋体"/>
                <w:color w:val="000000" w:themeColor="text1"/>
                <w:lang w:eastAsia="zh-CN"/>
              </w:rPr>
              <w:t>—</w:t>
            </w:r>
            <w:r>
              <w:rPr>
                <w:rFonts w:hint="eastAsia" w:ascii="宋体" w:hAnsi="宋体"/>
                <w:color w:val="000000" w:themeColor="text1"/>
                <w:lang w:val="en-US" w:eastAsia="zh-CN"/>
              </w:rPr>
              <w:t>投原材料</w:t>
            </w:r>
            <w:r>
              <w:rPr>
                <w:rFonts w:hint="eastAsia" w:ascii="宋体" w:hAnsi="宋体"/>
                <w:color w:val="000000" w:themeColor="text1"/>
                <w:lang w:eastAsia="zh-CN"/>
              </w:rPr>
              <w:t>—</w:t>
            </w:r>
            <w:r>
              <w:rPr>
                <w:rFonts w:hint="eastAsia" w:ascii="宋体" w:hAnsi="宋体"/>
                <w:color w:val="000000" w:themeColor="text1"/>
                <w:lang w:val="en-US" w:eastAsia="zh-CN"/>
              </w:rPr>
              <w:t>搅拌</w:t>
            </w:r>
            <w:r>
              <w:rPr>
                <w:rFonts w:hint="eastAsia" w:ascii="宋体" w:hAnsi="宋体"/>
                <w:color w:val="000000" w:themeColor="text1"/>
                <w:lang w:eastAsia="zh-CN"/>
              </w:rPr>
              <w:t>—</w:t>
            </w:r>
            <w:r>
              <w:rPr>
                <w:rFonts w:hint="eastAsia" w:ascii="宋体" w:hAnsi="宋体"/>
                <w:color w:val="000000" w:themeColor="text1"/>
                <w:lang w:val="en-US" w:eastAsia="zh-CN"/>
              </w:rPr>
              <w:t>检验</w:t>
            </w:r>
            <w:r>
              <w:rPr>
                <w:rFonts w:hint="eastAsia" w:ascii="宋体" w:hAnsi="宋体"/>
                <w:color w:val="000000" w:themeColor="text1"/>
                <w:lang w:eastAsia="zh-CN"/>
              </w:rPr>
              <w:t>—</w:t>
            </w:r>
            <w:r>
              <w:rPr>
                <w:rFonts w:hint="eastAsia" w:ascii="宋体" w:hAnsi="宋体"/>
                <w:color w:val="000000" w:themeColor="text1"/>
                <w:lang w:val="en-US" w:eastAsia="zh-CN"/>
              </w:rPr>
              <w:t>包装入库</w:t>
            </w:r>
          </w:p>
          <w:p>
            <w:pPr>
              <w:spacing w:line="240" w:lineRule="exact"/>
              <w:ind w:firstLine="210" w:firstLineChars="100"/>
              <w:rPr>
                <w:rFonts w:hint="eastAsia" w:ascii="宋体" w:hAnsi="宋体"/>
                <w:color w:val="000000" w:themeColor="text1"/>
                <w:lang w:val="en-US" w:eastAsia="zh-CN"/>
              </w:rPr>
            </w:pPr>
            <w:r>
              <w:rPr>
                <w:rFonts w:hint="eastAsia" w:ascii="宋体" w:hAnsi="宋体"/>
                <w:color w:val="000000" w:themeColor="text1"/>
                <w:lang w:val="en-US" w:eastAsia="zh-CN"/>
              </w:rPr>
              <w:t>关键/确认过程：配料搅拌，也是特殊过程。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Times New Roman" w:hAnsi="Times New Roman" w:eastAsia="宋体" w:cs="Times New Roman"/>
                <w:color w:val="000000" w:themeColor="text1"/>
                <w:szCs w:val="22"/>
                <w:lang w:val="en-US" w:eastAsia="zh-CN"/>
              </w:rPr>
              <w:t>公司产品主要按照相关标准及以及顾客要求进行加工，因此标准8.3条款“产品和服务的设计和开发”要求不适用。8.3条款的不适用不影响组织提供满足顾客要求及法律法规要求得产品</w:t>
            </w:r>
            <w:r>
              <w:rPr>
                <w:rFonts w:hint="eastAsia" w:ascii="宋体" w:hAnsi="宋体" w:cs="Times New Roman"/>
                <w:color w:val="000000" w:themeColor="text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3"/>
              <w:numPr>
                <w:ilvl w:val="0"/>
                <w:numId w:val="3"/>
              </w:numPr>
              <w:spacing w:line="400" w:lineRule="exact"/>
              <w:ind w:left="425" w:leftChars="0" w:hanging="425" w:firstLineChars="0"/>
              <w:jc w:val="left"/>
              <w:rPr>
                <w:rFonts w:hint="eastAsia" w:ascii="宋体" w:hAnsi="宋体" w:eastAsia="宋体" w:cs="Times New Roman"/>
                <w:spacing w:val="20"/>
                <w:szCs w:val="21"/>
              </w:rPr>
            </w:pPr>
            <w:r>
              <w:rPr>
                <w:rFonts w:hint="eastAsia" w:ascii="宋体" w:hAnsi="宋体"/>
                <w:spacing w:val="20"/>
                <w:szCs w:val="21"/>
              </w:rPr>
              <w:t>产</w:t>
            </w:r>
            <w:r>
              <w:rPr>
                <w:rFonts w:hint="eastAsia" w:ascii="宋体" w:hAnsi="宋体" w:eastAsia="宋体" w:cs="Times New Roman"/>
                <w:spacing w:val="20"/>
                <w:szCs w:val="21"/>
              </w:rPr>
              <w:t>品一次交验合格率：&gt;99%</w:t>
            </w:r>
          </w:p>
          <w:p>
            <w:pPr>
              <w:pStyle w:val="3"/>
              <w:numPr>
                <w:ilvl w:val="0"/>
                <w:numId w:val="3"/>
              </w:numPr>
              <w:spacing w:line="400" w:lineRule="exact"/>
              <w:ind w:left="425" w:leftChars="0" w:hanging="425" w:firstLineChars="0"/>
              <w:jc w:val="left"/>
              <w:rPr>
                <w:rFonts w:hint="eastAsia" w:ascii="宋体" w:hAnsi="宋体" w:eastAsia="宋体" w:cs="Times New Roman"/>
                <w:b w:val="0"/>
                <w:bCs w:val="0"/>
                <w:spacing w:val="20"/>
                <w:szCs w:val="21"/>
              </w:rPr>
            </w:pPr>
            <w:r>
              <w:rPr>
                <w:rFonts w:hint="eastAsia" w:ascii="宋体" w:hAnsi="宋体" w:eastAsia="宋体" w:cs="Times New Roman"/>
                <w:b w:val="0"/>
                <w:bCs w:val="0"/>
                <w:spacing w:val="20"/>
                <w:szCs w:val="21"/>
              </w:rPr>
              <w:t>顾客满意率：      &gt;90%</w:t>
            </w:r>
          </w:p>
          <w:p>
            <w:pPr>
              <w:pStyle w:val="3"/>
              <w:numPr>
                <w:ilvl w:val="0"/>
                <w:numId w:val="3"/>
              </w:numPr>
              <w:spacing w:line="400" w:lineRule="exact"/>
              <w:ind w:left="425" w:leftChars="0" w:hanging="425" w:firstLineChars="0"/>
              <w:jc w:val="left"/>
              <w:rPr>
                <w:rFonts w:hint="eastAsia" w:ascii="宋体" w:hAnsi="宋体" w:eastAsia="宋体" w:cs="Times New Roman"/>
                <w:b w:val="0"/>
                <w:bCs w:val="0"/>
                <w:spacing w:val="20"/>
                <w:szCs w:val="21"/>
              </w:rPr>
            </w:pPr>
            <w:r>
              <w:rPr>
                <w:rFonts w:hint="eastAsia" w:ascii="宋体" w:hAnsi="宋体" w:eastAsia="宋体" w:cs="Times New Roman"/>
                <w:b w:val="0"/>
                <w:bCs w:val="0"/>
                <w:spacing w:val="20"/>
                <w:szCs w:val="21"/>
              </w:rPr>
              <w:t>合同履约率：      100%</w:t>
            </w:r>
          </w:p>
          <w:p>
            <w:pPr>
              <w:pStyle w:val="3"/>
              <w:numPr>
                <w:ilvl w:val="0"/>
                <w:numId w:val="3"/>
              </w:numPr>
              <w:spacing w:line="400" w:lineRule="exact"/>
              <w:ind w:left="425" w:leftChars="0" w:hanging="425" w:firstLineChars="0"/>
              <w:jc w:val="left"/>
              <w:rPr>
                <w:rFonts w:ascii="宋体" w:hAnsi="宋体"/>
                <w:b/>
                <w:color w:val="000000" w:themeColor="text1"/>
              </w:rPr>
            </w:pPr>
            <w:r>
              <w:rPr>
                <w:rFonts w:hint="eastAsia" w:ascii="宋体" w:hAnsi="宋体" w:eastAsia="宋体" w:cs="Times New Roman"/>
                <w:b w:val="0"/>
                <w:bCs w:val="0"/>
                <w:spacing w:val="20"/>
                <w:szCs w:val="21"/>
              </w:rPr>
              <w:t>设</w:t>
            </w:r>
            <w:r>
              <w:rPr>
                <w:rFonts w:hint="eastAsia" w:ascii="宋体" w:hAnsi="宋体" w:eastAsia="宋体" w:cs="Times New Roman"/>
                <w:spacing w:val="20"/>
                <w:szCs w:val="21"/>
              </w:rPr>
              <w:t>备完好率：      &gt;95%</w:t>
            </w:r>
            <w:r>
              <w:rPr>
                <w:rFonts w:hint="eastAsia" w:ascii="宋体" w:hAnsi="宋体" w:eastAsia="宋体" w:cs="Times New Roman"/>
                <w:spacing w:val="2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05</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szCs w:val="22"/>
                <w:lang w:val="en-US" w:eastAsia="zh-CN"/>
              </w:rPr>
              <w:t>组织为租赁的加工厂房及办公场地.主要生产设备包括：</w:t>
            </w:r>
            <w:r>
              <w:rPr>
                <w:rFonts w:hint="eastAsia" w:ascii="宋体" w:hAnsi="宋体"/>
                <w:bCs/>
                <w:iCs/>
                <w:szCs w:val="22"/>
                <w:lang w:eastAsia="zh-CN"/>
              </w:rPr>
              <w:t>搅拌机、溶剂池 、电子称 、净化水设备 、强力加热机等</w:t>
            </w:r>
            <w:r>
              <w:rPr>
                <w:rFonts w:hint="eastAsia" w:ascii="宋体" w:hAnsi="宋体"/>
                <w:bCs/>
                <w:iCs/>
                <w:szCs w:val="22"/>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color w:val="auto"/>
                <w:sz w:val="21"/>
                <w:szCs w:val="21"/>
                <w:lang w:val="en-US" w:eastAsia="zh-CN"/>
              </w:rPr>
              <w:t>有电子台秤、电子秤、密度仪、粘度计、PH试纸等</w:t>
            </w:r>
            <w:r>
              <w:rPr>
                <w:rFonts w:hint="eastAsia"/>
                <w:color w:val="auto"/>
                <w:sz w:val="21"/>
                <w:szCs w:val="21"/>
                <w:lang w:eastAsia="zh-CN"/>
              </w:rPr>
              <w:t>等，查在用检具的校准证书，未能提供</w:t>
            </w:r>
            <w:r>
              <w:rPr>
                <w:rFonts w:hint="eastAsia"/>
                <w:color w:val="auto"/>
                <w:sz w:val="21"/>
                <w:szCs w:val="21"/>
                <w:lang w:val="en-US" w:eastAsia="zh-CN"/>
              </w:rPr>
              <w:t>以上检具的有效</w:t>
            </w:r>
            <w:r>
              <w:rPr>
                <w:rFonts w:hint="eastAsia"/>
                <w:color w:val="auto"/>
                <w:sz w:val="21"/>
                <w:szCs w:val="21"/>
                <w:lang w:eastAsia="zh-CN"/>
              </w:rPr>
              <w:t>校准证书，不符合标准要求。一阶段提出的不符合在二阶段审核时未整改关闭。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配料搅拌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配料搅拌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FF0000"/>
                <w:szCs w:val="21"/>
              </w:rPr>
            </w:pPr>
            <w:r>
              <w:rPr>
                <w:rFonts w:hint="eastAsia" w:ascii="宋体" w:hAnsi="宋体" w:cs="宋体"/>
                <w:color w:val="FF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rPr>
            </w:pPr>
            <w:r>
              <w:rPr>
                <w:rFonts w:hint="eastAsia"/>
              </w:rPr>
              <w:t>对特种设备的维护; （适用时）</w:t>
            </w:r>
          </w:p>
          <w:p>
            <w:pPr>
              <w:spacing w:line="400" w:lineRule="exact"/>
              <w:rPr>
                <w:rFonts w:hint="eastAsia"/>
                <w:lang w:eastAsia="zh-CN"/>
              </w:rPr>
            </w:pPr>
            <w:r>
              <w:rPr>
                <w:rFonts w:hint="eastAsia"/>
                <w:color w:val="000000" w:themeColor="text1"/>
                <w:sz w:val="21"/>
                <w:szCs w:val="21"/>
                <w:lang w:val="en-US" w:eastAsia="zh-CN"/>
              </w:rPr>
              <w:t>有货运电梯1部（厂房出租方资产，提供有效年检报告，见附件）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5月</w:t>
            </w:r>
            <w:r>
              <w:rPr>
                <w:rFonts w:hint="eastAsia" w:ascii="宋体" w:hAnsi="宋体" w:cs="宋体"/>
                <w:color w:val="auto"/>
                <w:szCs w:val="21"/>
              </w:rPr>
              <w:t>-</w:t>
            </w:r>
            <w:r>
              <w:rPr>
                <w:rFonts w:hint="eastAsia" w:ascii="宋体" w:hAnsi="宋体" w:cs="宋体"/>
                <w:color w:val="auto"/>
                <w:szCs w:val="21"/>
                <w:lang w:val="en-US" w:eastAsia="zh-CN"/>
              </w:rPr>
              <w:t>2020年9</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月实施，满意度评价</w:t>
            </w:r>
            <w:r>
              <w:rPr>
                <w:rFonts w:hint="eastAsia" w:ascii="宋体" w:hAnsi="宋体" w:cs="宋体"/>
                <w:color w:val="000000"/>
                <w:szCs w:val="21"/>
                <w:lang w:val="en-US" w:eastAsia="zh-CN"/>
              </w:rPr>
              <w:t>95分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color w:val="auto"/>
                <w:sz w:val="21"/>
                <w:szCs w:val="21"/>
                <w:highlight w:val="none"/>
                <w:lang w:eastAsia="zh-CN"/>
              </w:rPr>
              <w:t>2020年</w:t>
            </w:r>
            <w:r>
              <w:rPr>
                <w:rFonts w:hint="eastAsia"/>
                <w:color w:val="auto"/>
                <w:sz w:val="21"/>
                <w:szCs w:val="21"/>
                <w:highlight w:val="none"/>
                <w:lang w:val="en-US" w:eastAsia="zh-CN"/>
              </w:rPr>
              <w:t>0</w:t>
            </w:r>
            <w:r>
              <w:rPr>
                <w:rFonts w:hint="eastAsia"/>
                <w:color w:val="auto"/>
                <w:sz w:val="21"/>
                <w:szCs w:val="21"/>
                <w:highlight w:val="none"/>
                <w:lang w:eastAsia="zh-CN"/>
              </w:rPr>
              <w:t>8月</w:t>
            </w:r>
            <w:r>
              <w:rPr>
                <w:rFonts w:hint="eastAsia"/>
                <w:color w:val="auto"/>
                <w:sz w:val="21"/>
                <w:szCs w:val="21"/>
                <w:highlight w:val="none"/>
                <w:lang w:val="en-US" w:eastAsia="zh-CN"/>
              </w:rPr>
              <w:t>1</w:t>
            </w:r>
            <w:r>
              <w:rPr>
                <w:rFonts w:hint="eastAsia"/>
                <w:color w:val="auto"/>
                <w:sz w:val="21"/>
                <w:szCs w:val="21"/>
                <w:highlight w:val="none"/>
                <w:lang w:eastAsia="zh-CN"/>
              </w:rPr>
              <w:t>0日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color w:val="auto"/>
                <w:sz w:val="21"/>
                <w:szCs w:val="21"/>
                <w:highlight w:val="none"/>
              </w:rPr>
              <w:t xml:space="preserve">  涉及</w:t>
            </w:r>
            <w:r>
              <w:rPr>
                <w:rFonts w:hint="eastAsia"/>
                <w:color w:val="auto"/>
                <w:sz w:val="21"/>
                <w:szCs w:val="21"/>
                <w:highlight w:val="none"/>
                <w:lang w:val="en-US" w:eastAsia="zh-CN"/>
              </w:rPr>
              <w:t>供销</w:t>
            </w:r>
            <w:r>
              <w:rPr>
                <w:rFonts w:hint="eastAsia"/>
                <w:color w:val="auto"/>
                <w:sz w:val="21"/>
                <w:szCs w:val="21"/>
                <w:highlight w:val="none"/>
              </w:rPr>
              <w:t>部</w:t>
            </w:r>
            <w:r>
              <w:rPr>
                <w:rFonts w:hint="eastAsia"/>
                <w:color w:val="auto"/>
                <w:highlight w:val="none"/>
              </w:rPr>
              <w:t>8.2.3</w:t>
            </w:r>
            <w:r>
              <w:rPr>
                <w:rFonts w:hint="eastAsia"/>
                <w:color w:val="auto"/>
                <w:sz w:val="21"/>
                <w:szCs w:val="21"/>
                <w:highlight w:val="none"/>
                <w:lang w:val="en-US" w:eastAsia="zh-CN"/>
              </w:rPr>
              <w:t>条款。</w:t>
            </w:r>
            <w:r>
              <w:rPr>
                <w:rFonts w:hint="eastAsia"/>
                <w:color w:val="auto"/>
                <w:sz w:val="21"/>
                <w:szCs w:val="21"/>
                <w:highlight w:val="none"/>
              </w:rPr>
              <w:t>对</w:t>
            </w:r>
            <w:r>
              <w:rPr>
                <w:rFonts w:hint="eastAsia"/>
                <w:color w:val="auto"/>
                <w:sz w:val="21"/>
                <w:szCs w:val="21"/>
                <w:highlight w:val="none"/>
                <w:lang w:eastAsia="zh-CN"/>
              </w:rPr>
              <w:t>不符合事实描述为“</w:t>
            </w:r>
            <w:r>
              <w:rPr>
                <w:rFonts w:hint="eastAsia"/>
                <w:color w:val="auto"/>
                <w:highlight w:val="none"/>
                <w:lang w:eastAsia="zh-CN"/>
              </w:rPr>
              <w:t>2020年08月10日</w:t>
            </w:r>
            <w:r>
              <w:rPr>
                <w:rFonts w:hint="eastAsia"/>
                <w:color w:val="auto"/>
                <w:highlight w:val="none"/>
              </w:rPr>
              <w:t>，在现场检查销售合同时，发现一份合同未见对合同评审记录</w:t>
            </w:r>
            <w:r>
              <w:rPr>
                <w:rFonts w:hint="eastAsia"/>
                <w:color w:val="auto"/>
                <w:sz w:val="21"/>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针对</w:t>
            </w:r>
            <w:r>
              <w:rPr>
                <w:rFonts w:hint="eastAsia" w:ascii="宋体" w:hAnsi="宋体" w:cs="宋体"/>
                <w:color w:val="auto"/>
                <w:szCs w:val="21"/>
                <w:highlight w:val="none"/>
                <w:lang w:val="en-US" w:eastAsia="zh-CN"/>
              </w:rPr>
              <w:t>以上</w:t>
            </w:r>
            <w:r>
              <w:rPr>
                <w:rFonts w:hint="eastAsia" w:ascii="宋体" w:hAnsi="宋体" w:cs="宋体"/>
                <w:color w:val="auto"/>
                <w:szCs w:val="21"/>
                <w:highlight w:val="none"/>
              </w:rPr>
              <w:t>不符合项，已及</w:t>
            </w:r>
            <w:r>
              <w:rPr>
                <w:rFonts w:hint="eastAsia"/>
                <w:color w:val="auto"/>
                <w:szCs w:val="21"/>
                <w:highlight w:val="none"/>
              </w:rPr>
              <w:t>时采取纠正措施后，经内审员验证关闭。</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8</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lang w:eastAsia="zh-CN"/>
              </w:rPr>
            </w:pPr>
            <w:r>
              <w:rPr>
                <w:rFonts w:hint="eastAsia"/>
                <w:b/>
                <w:color w:val="000000" w:themeColor="text1"/>
                <w:spacing w:val="-20"/>
                <w:sz w:val="20"/>
                <w:szCs w:val="20"/>
                <w:lang w:eastAsia="zh-CN"/>
              </w:rPr>
              <w:t>二阶段审核时开具的不符合项已关闭</w:t>
            </w:r>
            <w:r>
              <w:rPr>
                <w:rFonts w:hint="eastAsia"/>
                <w:b/>
                <w:color w:val="FF0000"/>
                <w:spacing w:val="-20"/>
                <w:sz w:val="20"/>
                <w:szCs w:val="20"/>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w:t>
      </w:r>
      <w:r>
        <w:rPr>
          <w:rFonts w:hint="eastAsia"/>
          <w:b/>
          <w:color w:val="auto"/>
          <w:lang w:val="en-US" w:eastAsia="zh-CN"/>
        </w:rPr>
        <w:t>1</w:t>
      </w:r>
      <w:r>
        <w:rPr>
          <w:rFonts w:hint="eastAsia"/>
          <w:b/>
          <w:color w:val="auto"/>
        </w:rPr>
        <w:t>项；其中</w:t>
      </w:r>
      <w:r>
        <w:rPr>
          <w:b/>
          <w:color w:val="auto"/>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项，观察项项分布在</w:t>
      </w:r>
      <w:r>
        <w:rPr>
          <w:rFonts w:hint="eastAsia"/>
          <w:b/>
          <w:color w:val="auto"/>
          <w:lang w:val="en-US" w:eastAsia="zh-CN"/>
        </w:rPr>
        <w:t>技质</w:t>
      </w:r>
      <w:r>
        <w:rPr>
          <w:rFonts w:hint="eastAsia"/>
          <w:b/>
          <w:color w:val="auto"/>
        </w:rPr>
        <w:t>部门</w:t>
      </w:r>
      <w:r>
        <w:rPr>
          <w:rFonts w:hint="eastAsia"/>
          <w:b/>
          <w:color w:val="auto"/>
          <w:lang w:val="en-US" w:eastAsia="zh-CN"/>
        </w:rPr>
        <w:t>Q7.1.5</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ascii="宋体" w:hAnsi="宋体"/>
                <w:szCs w:val="21"/>
              </w:rPr>
              <w:t>污水处理剂的加工</w:t>
            </w:r>
            <w:r>
              <w:rPr>
                <w:rFonts w:hint="eastAsia" w:ascii="宋体" w:hAnsi="宋体"/>
                <w:szCs w:val="21"/>
                <w:lang w:eastAsia="zh-CN"/>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color w:val="000000"/>
          <w:szCs w:val="21"/>
        </w:rPr>
        <w:t>2020年10月19日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2"/>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29612E4B"/>
    <w:multiLevelType w:val="singleLevel"/>
    <w:tmpl w:val="29612E4B"/>
    <w:lvl w:ilvl="0" w:tentative="0">
      <w:start w:val="1"/>
      <w:numFmt w:val="decimal"/>
      <w:lvlText w:val="%1)"/>
      <w:lvlJc w:val="left"/>
      <w:pPr>
        <w:ind w:left="425" w:hanging="425"/>
      </w:pPr>
      <w:rPr>
        <w:rFonts w:hint="default"/>
      </w:r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594435"/>
    <w:rsid w:val="20D63ABA"/>
    <w:rsid w:val="41544C36"/>
    <w:rsid w:val="661041A9"/>
    <w:rsid w:val="75BD4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烂烂烂油条</cp:lastModifiedBy>
  <cp:lastPrinted>2020-10-19T07:37:07Z</cp:lastPrinted>
  <dcterms:modified xsi:type="dcterms:W3CDTF">2020-10-19T07:37:16Z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