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0514-2020-E</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福安今彩涂料有限公司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伍光华</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福安今彩涂料有限公司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福建省宁德市福安市城南街道城南程家垅98-2号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355000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hint="default" w:ascii="宋体" w:eastAsia="宋体"/>
                <w:b/>
                <w:color w:val="000000"/>
                <w:sz w:val="20"/>
                <w:szCs w:val="20"/>
                <w:lang w:val="en-US" w:eastAsia="zh-CN"/>
              </w:rPr>
            </w:pPr>
            <w:bookmarkStart w:id="12" w:name="经营地址"/>
            <w:bookmarkEnd w:id="12"/>
            <w:r>
              <w:rPr>
                <w:rFonts w:ascii="宋体"/>
                <w:b/>
                <w:color w:val="000000"/>
                <w:sz w:val="20"/>
                <w:szCs w:val="20"/>
              </w:rPr>
              <w:t>福建省宁德市福安市</w:t>
            </w:r>
            <w:r>
              <w:rPr>
                <w:rFonts w:hint="eastAsia" w:ascii="宋体"/>
                <w:b/>
                <w:color w:val="000000"/>
                <w:sz w:val="20"/>
                <w:szCs w:val="20"/>
                <w:lang w:val="en-US" w:eastAsia="zh-CN"/>
              </w:rPr>
              <w:t>秦溪宜春小区大学生创业园307号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福建省宁德市福安市城南街道城南程家垅98-2号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355000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吴立云</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0593-6181600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吴立云</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缪碧云</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2020年5月26日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热固性粉末涂料的销售所涉及的相关环境管理活动。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29.11.03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管理手册、程序文件、重要环境因素、目标等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管理层、综合部、运营部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t>热固性粉末涂料的销售。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管理层、综合部、运营部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hint="eastAsia" w:ascii="宋体" w:hAnsi="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1个</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福建省宁德市福安市城南街道城南程家垅98-2号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A3"/>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sz w:val="20"/>
                <w:szCs w:val="20"/>
              </w:rPr>
            </w:pPr>
            <w:r>
              <w:rPr>
                <w:rFonts w:hint="eastAsia" w:ascii="宋体"/>
                <w:color w:val="000000"/>
                <w:sz w:val="20"/>
                <w:szCs w:val="20"/>
              </w:rPr>
              <w:t>环境执行标准：</w:t>
            </w:r>
            <w:r>
              <w:rPr>
                <w:rFonts w:hint="eastAsia" w:ascii="宋体" w:hAnsi="宋体"/>
                <w:sz w:val="20"/>
                <w:szCs w:val="20"/>
              </w:rPr>
              <w:t>环境空气质量标准</w:t>
            </w:r>
          </w:p>
          <w:p>
            <w:pPr>
              <w:rPr>
                <w:rFonts w:ascii="宋体"/>
                <w:sz w:val="20"/>
                <w:szCs w:val="20"/>
              </w:rPr>
            </w:pPr>
            <w:r>
              <w:rPr>
                <w:rFonts w:hint="eastAsia" w:ascii="宋体" w:hAnsi="宋体"/>
                <w:sz w:val="20"/>
                <w:szCs w:val="20"/>
              </w:rPr>
              <w:t>大气污染物综合排放标准</w:t>
            </w:r>
          </w:p>
          <w:p>
            <w:pPr>
              <w:rPr>
                <w:rFonts w:ascii="宋体"/>
                <w:sz w:val="20"/>
                <w:szCs w:val="20"/>
              </w:rPr>
            </w:pPr>
            <w:r>
              <w:rPr>
                <w:rFonts w:hint="eastAsia" w:ascii="宋体" w:hAnsi="宋体"/>
                <w:sz w:val="20"/>
                <w:szCs w:val="20"/>
              </w:rPr>
              <w:t>生活饮用水卫生标准</w:t>
            </w:r>
          </w:p>
          <w:p>
            <w:pPr>
              <w:rPr>
                <w:rFonts w:ascii="宋体"/>
                <w:sz w:val="20"/>
                <w:szCs w:val="20"/>
              </w:rPr>
            </w:pPr>
            <w:r>
              <w:rPr>
                <w:rFonts w:hint="eastAsia" w:ascii="宋体" w:hAnsi="宋体"/>
                <w:sz w:val="20"/>
                <w:szCs w:val="20"/>
              </w:rPr>
              <w:t>地表水环境质量标准</w:t>
            </w:r>
          </w:p>
          <w:p>
            <w:pPr>
              <w:rPr>
                <w:rFonts w:ascii="宋体"/>
                <w:sz w:val="20"/>
                <w:szCs w:val="20"/>
              </w:rPr>
            </w:pPr>
            <w:r>
              <w:rPr>
                <w:rFonts w:hint="eastAsia" w:ascii="宋体" w:hAnsi="宋体"/>
                <w:sz w:val="20"/>
                <w:szCs w:val="20"/>
              </w:rPr>
              <w:t>污水综合排放标准</w:t>
            </w:r>
          </w:p>
          <w:p>
            <w:pPr>
              <w:rPr>
                <w:rFonts w:hint="default" w:ascii="宋体" w:eastAsia="宋体"/>
                <w:color w:val="000000"/>
                <w:sz w:val="20"/>
                <w:szCs w:val="20"/>
                <w:lang w:val="en-US" w:eastAsia="zh-CN"/>
              </w:rPr>
            </w:pPr>
            <w:r>
              <w:rPr>
                <w:rFonts w:hint="eastAsia" w:ascii="宋体" w:hAnsi="宋体"/>
                <w:sz w:val="20"/>
                <w:szCs w:val="20"/>
              </w:rPr>
              <w:t>城镇环境卫生设施设置标准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s="宋体"/>
                <w:color w:val="000000"/>
                <w:sz w:val="21"/>
                <w:szCs w:val="21"/>
              </w:rPr>
              <w:t>电脑</w:t>
            </w:r>
            <w:r>
              <w:rPr>
                <w:rFonts w:hint="eastAsia" w:ascii="宋体" w:hAnsi="宋体" w:cs="宋体"/>
                <w:color w:val="000000"/>
                <w:sz w:val="21"/>
                <w:szCs w:val="21"/>
                <w:lang w:eastAsia="zh-CN"/>
              </w:rPr>
              <w:t>、</w:t>
            </w:r>
            <w:r>
              <w:rPr>
                <w:rFonts w:hint="eastAsia" w:ascii="宋体" w:hAnsi="宋体" w:cs="宋体"/>
                <w:color w:val="000000"/>
                <w:sz w:val="21"/>
                <w:szCs w:val="21"/>
              </w:rPr>
              <w:t>打印机</w:t>
            </w:r>
            <w:r>
              <w:rPr>
                <w:rFonts w:hint="eastAsia" w:ascii="宋体" w:hAnsi="宋体" w:cs="宋体"/>
                <w:color w:val="000000"/>
                <w:sz w:val="21"/>
                <w:szCs w:val="21"/>
                <w:lang w:eastAsia="zh-CN"/>
              </w:rPr>
              <w:t>、</w:t>
            </w:r>
            <w:r>
              <w:rPr>
                <w:rFonts w:hint="eastAsia" w:ascii="宋体" w:hAnsi="宋体" w:cs="宋体"/>
                <w:color w:val="000000"/>
                <w:sz w:val="21"/>
                <w:szCs w:val="21"/>
              </w:rPr>
              <w:t>复印机</w:t>
            </w:r>
            <w:r>
              <w:rPr>
                <w:rFonts w:hint="eastAsia" w:ascii="宋体" w:hAnsi="宋体" w:cs="宋体"/>
                <w:color w:val="000000"/>
                <w:sz w:val="21"/>
                <w:szCs w:val="21"/>
                <w:lang w:eastAsia="zh-CN"/>
              </w:rPr>
              <w:t>、</w:t>
            </w:r>
            <w:r>
              <w:rPr>
                <w:rFonts w:hint="eastAsia"/>
                <w:color w:val="auto"/>
                <w:sz w:val="21"/>
                <w:szCs w:val="21"/>
              </w:rPr>
              <w:t>电话机</w:t>
            </w:r>
            <w:r>
              <w:rPr>
                <w:rFonts w:hint="eastAsia"/>
                <w:color w:val="auto"/>
                <w:sz w:val="21"/>
                <w:szCs w:val="21"/>
                <w:lang w:eastAsia="zh-CN"/>
              </w:rPr>
              <w:t>、</w:t>
            </w:r>
            <w:r>
              <w:rPr>
                <w:rFonts w:hint="eastAsia"/>
                <w:color w:val="auto"/>
                <w:sz w:val="21"/>
                <w:szCs w:val="21"/>
                <w:lang w:val="en-US" w:eastAsia="zh-CN"/>
              </w:rPr>
              <w:t>桌子等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固废的排放、能源的消耗、潜在的火灾爆炸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触电事故、火灾爆炸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8</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综合部、运营部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仓库</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color w:val="000000"/>
                <w:sz w:val="20"/>
                <w:szCs w:val="20"/>
              </w:rPr>
              <w:t>公司于</w:t>
            </w:r>
            <w:r>
              <w:rPr>
                <w:rFonts w:hint="eastAsia" w:ascii="宋体" w:hAnsi="宋体"/>
                <w:color w:val="000000"/>
                <w:sz w:val="20"/>
                <w:szCs w:val="20"/>
                <w:lang w:val="en-US" w:eastAsia="zh-CN"/>
              </w:rPr>
              <w:t>2020.9.30</w:t>
            </w:r>
            <w:r>
              <w:rPr>
                <w:rFonts w:hint="eastAsia" w:ascii="宋体" w:hAnsi="宋体"/>
                <w:color w:val="000000"/>
                <w:sz w:val="20"/>
                <w:szCs w:val="20"/>
              </w:rPr>
              <w:t>日进行一次内审，提供了内审计划、内审记录、不符合报告、内审报告等，发现了一个不符合，</w:t>
            </w:r>
            <w:r>
              <w:rPr>
                <w:rFonts w:hint="eastAsia"/>
                <w:szCs w:val="21"/>
              </w:rPr>
              <w:t>具体内容见审核记录</w:t>
            </w:r>
            <w:r>
              <w:rPr>
                <w:rFonts w:hint="eastAsia"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s="宋体"/>
                <w:szCs w:val="21"/>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2020.10.10</w:t>
            </w:r>
            <w:r>
              <w:rPr>
                <w:rFonts w:hint="eastAsia"/>
                <w:szCs w:val="21"/>
              </w:rPr>
              <w:t>日召开了管理评审会议，由总经理主持，提供了管理评审报告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cs="宋体"/>
                <w:szCs w:val="21"/>
              </w:rPr>
              <w:t>公司各部门基本按照管理体系标准要求实施已初步取得良好的效果。公司方针、目标及管理方案、管理体系文件、环境控制等符合公司目前发展状况，所配备的各类资源基本满足管理体系要求。公司环境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r>
        <w:t>热固性粉末涂料的销售所涉及的相关环境管理活动。</w:t>
      </w:r>
    </w:p>
    <w:p>
      <w:pPr>
        <w:spacing w:line="300" w:lineRule="auto"/>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eastAsia="宋体"/>
          <w:b/>
          <w:color w:val="000000"/>
          <w:lang w:eastAsia="zh-CN"/>
        </w:rPr>
        <w:drawing>
          <wp:anchor distT="0" distB="0" distL="114300" distR="114300" simplePos="0" relativeHeight="251658240" behindDoc="0" locked="0" layoutInCell="1" allowOverlap="1">
            <wp:simplePos x="0" y="0"/>
            <wp:positionH relativeFrom="column">
              <wp:posOffset>1872615</wp:posOffset>
            </wp:positionH>
            <wp:positionV relativeFrom="paragraph">
              <wp:posOffset>-673100</wp:posOffset>
            </wp:positionV>
            <wp:extent cx="1038225" cy="875030"/>
            <wp:effectExtent l="0" t="0" r="3175" b="1270"/>
            <wp:wrapSquare wrapText="bothSides"/>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6"/>
                    <a:stretch>
                      <a:fillRect/>
                    </a:stretch>
                  </pic:blipFill>
                  <pic:spPr>
                    <a:xfrm>
                      <a:off x="0" y="0"/>
                      <a:ext cx="1038225" cy="875030"/>
                    </a:xfrm>
                    <a:prstGeom prst="rect">
                      <a:avLst/>
                    </a:prstGeom>
                  </pic:spPr>
                </pic:pic>
              </a:graphicData>
            </a:graphic>
          </wp:anchor>
        </w:drawing>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2020.10.18</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bookmarkStart w:id="25" w:name="_GoBack"/>
      <w:r>
        <w:rPr>
          <w:rFonts w:hint="eastAsia" w:eastAsia="隶书"/>
          <w:color w:val="000000"/>
          <w:sz w:val="32"/>
          <w:szCs w:val="32"/>
        </w:rPr>
        <w:drawing>
          <wp:anchor distT="0" distB="0" distL="114300" distR="114300" simplePos="0" relativeHeight="251659264" behindDoc="0" locked="0" layoutInCell="1" allowOverlap="1">
            <wp:simplePos x="0" y="0"/>
            <wp:positionH relativeFrom="column">
              <wp:posOffset>-107950</wp:posOffset>
            </wp:positionH>
            <wp:positionV relativeFrom="paragraph">
              <wp:posOffset>-43180</wp:posOffset>
            </wp:positionV>
            <wp:extent cx="6522720" cy="8906510"/>
            <wp:effectExtent l="0" t="0" r="5080" b="8890"/>
            <wp:wrapNone/>
            <wp:docPr id="3" name="图片 3" descr="新文档 2020-11-05 13.43.0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1-05 13.43.04_9"/>
                    <pic:cNvPicPr>
                      <a:picLocks noChangeAspect="1"/>
                    </pic:cNvPicPr>
                  </pic:nvPicPr>
                  <pic:blipFill>
                    <a:blip r:embed="rId7"/>
                    <a:stretch>
                      <a:fillRect/>
                    </a:stretch>
                  </pic:blipFill>
                  <pic:spPr>
                    <a:xfrm>
                      <a:off x="0" y="0"/>
                      <a:ext cx="6522720" cy="8906510"/>
                    </a:xfrm>
                    <a:prstGeom prst="rect">
                      <a:avLst/>
                    </a:prstGeom>
                  </pic:spPr>
                </pic:pic>
              </a:graphicData>
            </a:graphic>
          </wp:anchor>
        </w:drawing>
      </w:r>
      <w:bookmarkEnd w:id="25"/>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4"/>
          <w:szCs w:val="24"/>
        </w:rPr>
      </w:pPr>
      <w:r>
        <w:rPr>
          <w:rFonts w:hint="eastAsia" w:eastAsia="隶书"/>
          <w:color w:val="000000"/>
          <w:sz w:val="28"/>
          <w:szCs w:val="28"/>
        </w:rPr>
        <w:t>受审核方：</w:t>
      </w:r>
      <w:r>
        <w:rPr>
          <w:color w:val="000000"/>
          <w:sz w:val="24"/>
          <w:szCs w:val="24"/>
        </w:rPr>
        <w:t>福安今彩涂料有限公司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伍光华</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10</w:t>
            </w:r>
            <w:r>
              <w:rPr>
                <w:rFonts w:hint="eastAsia"/>
                <w:b/>
                <w:color w:val="000000"/>
                <w:sz w:val="22"/>
                <w:szCs w:val="22"/>
              </w:rPr>
              <w:t xml:space="preserve"> 月  </w:t>
            </w:r>
            <w:r>
              <w:rPr>
                <w:rFonts w:hint="eastAsia"/>
                <w:b/>
                <w:color w:val="000000"/>
                <w:sz w:val="22"/>
                <w:szCs w:val="22"/>
                <w:lang w:val="en-US" w:eastAsia="zh-CN"/>
              </w:rPr>
              <w:t>18</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7F0171"/>
    <w:rsid w:val="161130FA"/>
    <w:rsid w:val="3E7D163C"/>
    <w:rsid w:val="5B8A14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伍光华</cp:lastModifiedBy>
  <dcterms:modified xsi:type="dcterms:W3CDTF">2020-11-05T06:08:34Z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