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84"/>
        <w:gridCol w:w="505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成都万炜秋烨商贸有限公司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成都市金牛区金府路593号8栋1单元12层4号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5" w:name="最高管理者"/>
            <w:bookmarkEnd w:id="5"/>
            <w:r>
              <w:rPr>
                <w:rFonts w:hint="eastAsia"/>
                <w:lang w:val="en-US" w:eastAsia="zh-CN"/>
              </w:rPr>
              <w:t>王玉珍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0535-2020-Q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建材、电子产品、通信设备（不含无线电发射设备）销售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2020年10月18日 上午至2020年10月18日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770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74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770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74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2020.10.17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2020.10.17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18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、杨珍全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default" w:ascii="宋体" w:hAnsi="宋体" w:cs="新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  <w:t>范围的确认，资质的确认，法律法规执行情况，重大质量事故，及顾客投诉和质量监督抽查情况，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组织的角色、职责和权限；6.2质量目标及其实现的策划；7.1.2人员；7.2能力；7.3意识；7.4沟通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7.5文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13:00-16:30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购销部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5.3组织的角色、职责和权限；6.2质量目标及其实现的策划；8.1运行策划和控制；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 8.3设计开发控制；8.4外部提供过程、产品和服务的控制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8.6产品和服务放行 8.7不合格输出的控制；9.1.2顾客满意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购销部：张心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 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（张心、杨珍全）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973DB"/>
    <w:rsid w:val="6DFB075A"/>
    <w:rsid w:val="784465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2020-10-16T14:00:44Z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