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r>
        <w:rPr>
          <w:rFonts w:hint="eastAsia" w:ascii="宋体" w:hAnsi="宋体"/>
          <w:b/>
          <w:bCs/>
          <w:sz w:val="24"/>
          <w:szCs w:val="24"/>
        </w:rPr>
        <w:t>编  号：</w:t>
      </w:r>
      <w:bookmarkStart w:id="0" w:name="合同编号"/>
      <w:r>
        <w:rPr>
          <w:b/>
          <w:bCs/>
          <w:sz w:val="24"/>
          <w:szCs w:val="24"/>
        </w:rPr>
        <w:t>0486-2020-Q</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成都九壹通智能科技股份有限公司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34.03.02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GB/T19001-2016/ISO9001:2015</w:t>
      </w:r>
      <w:bookmarkEnd w:id="5"/>
    </w:p>
    <w:p>
      <w:pPr>
        <w:ind w:left="3" w:leftChars="-400" w:hanging="843" w:hangingChars="323"/>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成都九壹通智能科技股份有限公司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中国(四川)自由贸易试验区成都高新区益州大道中段1800号1栋5层508号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610041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中国(四川)自由贸易试验区成都高新区益州大道中段1800号1栋5层508号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610041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王旭</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13541211739</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杨吉钊</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jc w:val="center"/>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杨吉钊</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王旭</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轨道技术（安全防范类）的研发</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34.03.02</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2020-01-08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行政</w:t>
            </w:r>
            <w:r>
              <w:rPr>
                <w:rFonts w:hint="eastAsia" w:ascii="宋体" w:hAnsi="宋体"/>
                <w:b/>
                <w:color w:val="000000" w:themeColor="text1"/>
                <w:sz w:val="20"/>
                <w:szCs w:val="20"/>
                <w:lang w:val="en-US" w:eastAsia="zh-CN"/>
              </w:rPr>
              <w:t>人事</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技术研发部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产品研发；不合格品控制；纠正和预防措施控制；策划管理；过程监控管理；产品验收管理；监视和测量设备管理；服务过程管理；设备设施管理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市场部</w:t>
            </w:r>
          </w:p>
        </w:tc>
        <w:tc>
          <w:tcPr>
            <w:tcW w:w="6804" w:type="dxa"/>
          </w:tcPr>
          <w:p>
            <w:pPr>
              <w:jc w:val="center"/>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合同管理；客户管理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采购管理；供方管理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服务部</w:t>
            </w:r>
          </w:p>
        </w:tc>
        <w:tc>
          <w:tcPr>
            <w:tcW w:w="6804"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none"/>
                <w:lang w:val="en-US" w:eastAsia="zh-CN"/>
              </w:rPr>
              <w:t>售后服务；顾客满意度调查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lang w:val="en-US" w:eastAsia="zh-CN"/>
              </w:rPr>
              <w:t xml:space="preserve">轨道技术（安全防范类）的研发 </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产品</w:t>
            </w:r>
          </w:p>
        </w:tc>
        <w:tc>
          <w:tcPr>
            <w:tcW w:w="1843" w:type="dxa"/>
          </w:tcPr>
          <w:p>
            <w:pPr>
              <w:rPr>
                <w:b/>
                <w:color w:val="000000" w:themeColor="text1"/>
                <w:sz w:val="20"/>
                <w:szCs w:val="20"/>
              </w:rPr>
            </w:pPr>
          </w:p>
        </w:tc>
        <w:tc>
          <w:tcPr>
            <w:tcW w:w="3543" w:type="dxa"/>
            <w:vAlign w:val="top"/>
          </w:tcPr>
          <w:p>
            <w:pPr>
              <w:pStyle w:val="3"/>
              <w:keepNext w:val="0"/>
              <w:keepLines w:val="0"/>
              <w:widowControl/>
              <w:suppressLineNumbers w:val="0"/>
              <w:shd w:val="clear" w:color="auto" w:fill="FFFFFF"/>
              <w:ind w:left="0" w:firstLine="0"/>
              <w:jc w:val="both"/>
              <w:rPr>
                <w:b/>
                <w:bCs/>
                <w:color w:val="000000" w:themeColor="text1"/>
                <w:sz w:val="21"/>
                <w:szCs w:val="21"/>
              </w:rPr>
            </w:pPr>
            <w:r>
              <w:rPr>
                <w:rFonts w:hint="eastAsia" w:ascii="宋体" w:hAnsi="宋体" w:eastAsia="宋体" w:cs="宋体"/>
                <w:b/>
                <w:bCs/>
                <w:color w:val="000000"/>
                <w:kern w:val="2"/>
                <w:sz w:val="21"/>
                <w:szCs w:val="21"/>
                <w:highlight w:val="none"/>
                <w:lang w:val="en-US" w:eastAsia="zh-CN" w:bidi="ar-SA"/>
              </w:rPr>
              <w:t>超宽带（UWB）设备技术要求和测试方法</w:t>
            </w:r>
            <w:r>
              <w:rPr>
                <w:rFonts w:hint="eastAsia" w:ascii="宋体" w:hAnsi="宋体" w:eastAsia="宋体" w:cs="宋体"/>
                <w:b/>
                <w:bCs/>
                <w:color w:val="000000"/>
                <w:kern w:val="2"/>
                <w:sz w:val="21"/>
                <w:szCs w:val="21"/>
                <w:highlight w:val="none"/>
                <w:lang w:val="en-US" w:eastAsia="zh-CN" w:bidi="ar-SA"/>
              </w:rPr>
              <w:tab/>
            </w:r>
            <w:r>
              <w:rPr>
                <w:rFonts w:hint="eastAsia" w:ascii="宋体" w:hAnsi="宋体" w:eastAsia="宋体" w:cs="宋体"/>
                <w:b/>
                <w:bCs/>
                <w:color w:val="000000"/>
                <w:kern w:val="2"/>
                <w:sz w:val="21"/>
                <w:szCs w:val="21"/>
                <w:highlight w:val="none"/>
                <w:lang w:val="en-US" w:eastAsia="zh-CN" w:bidi="ar-SA"/>
              </w:rPr>
              <w:t>YD/T 2237-2011、轨道交通 机车车辆 受电弓特性和试验 第1部分: 干线机车车辆受电弓 GB/T 21561.1-2008、轨道交通 机车车辆 受电弓特性和试验 第2部分：地铁与轻轨车辆受电弓 GB/T 21561.2-2008、轨道交通 机车车辆受电弓特性和试验 第3部分：受电弓与干线机车车辆的接口 GB/T 21561.3-2016、轨道交通 机车车辆电子装置 GB/T 25119-2010、轨道交通 机车车辆设备 电力电子电容器</w:t>
            </w:r>
            <w:r>
              <w:rPr>
                <w:rFonts w:hint="eastAsia" w:ascii="宋体" w:hAnsi="宋体" w:eastAsia="宋体" w:cs="宋体"/>
                <w:b/>
                <w:bCs/>
                <w:color w:val="000000"/>
                <w:kern w:val="2"/>
                <w:sz w:val="21"/>
                <w:szCs w:val="21"/>
                <w:highlight w:val="none"/>
                <w:lang w:val="en-US" w:eastAsia="zh-CN" w:bidi="ar-SA"/>
              </w:rPr>
              <w:tab/>
            </w:r>
            <w:r>
              <w:rPr>
                <w:rFonts w:hint="eastAsia" w:ascii="宋体" w:hAnsi="宋体" w:eastAsia="宋体" w:cs="宋体"/>
                <w:b/>
                <w:bCs/>
                <w:color w:val="000000"/>
                <w:kern w:val="2"/>
                <w:sz w:val="21"/>
                <w:szCs w:val="21"/>
                <w:highlight w:val="none"/>
                <w:lang w:val="en-US" w:eastAsia="zh-CN" w:bidi="ar-SA"/>
              </w:rPr>
              <w:t>GB/T 25121-2010、合同协议等。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64" w:leftChars="-337" w:hanging="544" w:hangingChars="271"/>
        <w:rPr>
          <w:b/>
          <w:color w:val="000000" w:themeColor="text1"/>
          <w:spacing w:val="-10"/>
          <w:szCs w:val="21"/>
        </w:rPr>
      </w:pPr>
      <w:r>
        <w:rPr>
          <w:rFonts w:hint="eastAsia" w:ascii="宋体" w:hAnsi="宋体"/>
          <w:b/>
          <w:color w:val="000000" w:themeColor="text1"/>
          <w:sz w:val="20"/>
          <w:szCs w:val="20"/>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8</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r>
        <w:rPr>
          <w:rFonts w:hint="eastAsia"/>
          <w:b/>
          <w:color w:val="000000" w:themeColor="text1"/>
          <w:spacing w:val="-10"/>
          <w:szCs w:val="21"/>
          <w:lang w:val="en-US" w:eastAsia="zh-CN"/>
        </w:rPr>
        <w:t>16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64" w:leftChars="-337" w:hanging="544" w:hangingChars="271"/>
        <w:rPr>
          <w:b/>
          <w:color w:val="000000" w:themeColor="text1"/>
          <w:spacing w:val="-10"/>
          <w:szCs w:val="21"/>
        </w:rPr>
      </w:pPr>
      <w:r>
        <w:rPr>
          <w:rFonts w:hint="eastAsia" w:ascii="宋体" w:hAnsi="宋体"/>
          <w:b/>
          <w:color w:val="000000" w:themeColor="text1"/>
          <w:sz w:val="20"/>
          <w:szCs w:val="20"/>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276" w:lineRule="auto"/>
              <w:rPr>
                <w:rFonts w:ascii="Times New Roman" w:hAnsi="Times New Roman" w:eastAsia="宋体" w:cs="Times New Roman"/>
                <w:b/>
                <w:color w:val="000000" w:themeColor="text1"/>
                <w:kern w:val="2"/>
                <w:sz w:val="21"/>
                <w:szCs w:val="24"/>
                <w:lang w:val="en-US" w:eastAsia="zh-CN" w:bidi="ar-SA"/>
              </w:rPr>
            </w:pPr>
            <w:r>
              <w:rPr>
                <w:rFonts w:hint="eastAsia" w:ascii="宋体" w:hAnsi="宋体"/>
                <w:szCs w:val="21"/>
              </w:rPr>
              <w:t>质量方针：“</w:t>
            </w:r>
            <w:r>
              <w:rPr>
                <w:rFonts w:hint="default" w:ascii="宋体" w:hAnsi="宋体"/>
                <w:b w:val="0"/>
                <w:bCs w:val="0"/>
                <w:sz w:val="21"/>
                <w:szCs w:val="21"/>
                <w:lang w:val="en-US" w:eastAsia="zh-CN"/>
              </w:rPr>
              <w:t>经营优质产品，提供完善服务，不断持续改进，追求顾客满意；</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eastAsia="宋体" w:cs="Times New Roman"/>
                <w:color w:val="000000" w:themeColor="text1"/>
                <w:kern w:val="2"/>
                <w:sz w:val="21"/>
                <w:szCs w:val="24"/>
                <w:lang w:val="en-US" w:eastAsia="zh-CN" w:bidi="ar-SA"/>
              </w:rPr>
            </w:pPr>
            <w:r>
              <w:rPr>
                <w:rFonts w:hint="eastAsia" w:ascii="宋体" w:hAnsi="宋体"/>
                <w:color w:val="000000" w:themeColor="text1"/>
              </w:rPr>
              <w:t>制定并实施了相关程序和管理制度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w:t>
            </w:r>
            <w:r>
              <w:rPr>
                <w:rFonts w:hint="eastAsia" w:ascii="宋体" w:hAnsi="宋体"/>
                <w:b/>
                <w:color w:val="000000" w:themeColor="text1"/>
                <w:sz w:val="20"/>
                <w:szCs w:val="20"/>
                <w:lang w:val="en-US" w:eastAsia="zh-CN"/>
              </w:rPr>
              <w:t>供方评审</w:t>
            </w:r>
            <w:r>
              <w:rPr>
                <w:rFonts w:hint="eastAsia" w:ascii="宋体" w:hAnsi="宋体"/>
                <w:b/>
                <w:color w:val="000000" w:themeColor="text1"/>
                <w:sz w:val="20"/>
                <w:szCs w:val="20"/>
              </w:rPr>
              <w:t>、研发</w:t>
            </w:r>
            <w:r>
              <w:rPr>
                <w:rFonts w:hint="eastAsia" w:ascii="宋体" w:hAnsi="宋体"/>
                <w:b/>
                <w:color w:val="000000" w:themeColor="text1"/>
                <w:sz w:val="20"/>
                <w:szCs w:val="20"/>
                <w:lang w:val="en-US" w:eastAsia="zh-CN"/>
              </w:rPr>
              <w:t>过程</w:t>
            </w:r>
            <w:r>
              <w:rPr>
                <w:rFonts w:hint="eastAsia" w:ascii="宋体" w:hAnsi="宋体"/>
                <w:b/>
                <w:color w:val="000000" w:themeColor="text1"/>
                <w:sz w:val="20"/>
                <w:szCs w:val="20"/>
              </w:rPr>
              <w:t>、</w:t>
            </w:r>
            <w:r>
              <w:rPr>
                <w:rFonts w:hint="eastAsia" w:ascii="宋体" w:hAnsi="宋体"/>
                <w:b/>
                <w:color w:val="000000" w:themeColor="text1"/>
                <w:sz w:val="20"/>
                <w:szCs w:val="20"/>
                <w:lang w:val="en-US" w:eastAsia="zh-CN"/>
              </w:rPr>
              <w:t>检验</w:t>
            </w:r>
            <w:r>
              <w:rPr>
                <w:rFonts w:hint="eastAsia" w:ascii="宋体" w:hAnsi="宋体"/>
                <w:b/>
                <w:color w:val="000000" w:themeColor="text1"/>
                <w:sz w:val="20"/>
                <w:szCs w:val="20"/>
              </w:rPr>
              <w:t>过程等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研发过程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val="en-US" w:eastAsia="zh-CN"/>
              </w:rPr>
              <w:t>研发过程</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                                                    </w:t>
            </w:r>
          </w:p>
          <w:p>
            <w:pPr>
              <w:tabs>
                <w:tab w:val="left" w:pos="540"/>
              </w:tabs>
              <w:spacing w:line="300" w:lineRule="exact"/>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bCs/>
                <w:sz w:val="20"/>
                <w:szCs w:val="22"/>
              </w:rPr>
            </w:pPr>
            <w:r>
              <w:rPr>
                <w:rFonts w:hint="eastAsia"/>
                <w:b/>
                <w:bCs/>
                <w:sz w:val="20"/>
                <w:szCs w:val="22"/>
              </w:rPr>
              <w:t xml:space="preserve">7. </w:t>
            </w:r>
            <w:r>
              <w:rPr>
                <w:b/>
                <w:bCs/>
                <w:sz w:val="20"/>
                <w:szCs w:val="22"/>
              </w:rPr>
              <w:t>OHSMS</w:t>
            </w:r>
            <w:r>
              <w:rPr>
                <w:rFonts w:hint="eastAsia"/>
                <w:b/>
                <w:bCs/>
                <w:sz w:val="20"/>
                <w:szCs w:val="22"/>
              </w:rPr>
              <w:t>职业健康安全危险源</w:t>
            </w:r>
          </w:p>
          <w:p>
            <w:pPr>
              <w:spacing w:line="300" w:lineRule="exact"/>
              <w:rPr>
                <w:rFonts w:hint="eastAsia"/>
                <w:b/>
                <w:bCs/>
                <w:sz w:val="20"/>
                <w:szCs w:val="22"/>
              </w:rPr>
            </w:pPr>
            <w:r>
              <w:rPr>
                <w:rFonts w:hint="eastAsia"/>
                <w:b/>
                <w:bCs/>
                <w:sz w:val="20"/>
                <w:szCs w:val="22"/>
              </w:rPr>
              <w:t>（职业健康安全危险源辨识是否充分、风险评价合理性，以及风险评价动态变更的及时性等）</w:t>
            </w:r>
          </w:p>
          <w:p>
            <w:pPr>
              <w:pStyle w:val="2"/>
              <w:rPr>
                <w:rFonts w:hint="eastAsia" w:eastAsia="宋体"/>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2"/>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lang w:val="en-US" w:eastAsia="zh-CN"/>
              </w:rPr>
              <w:t>9</w:t>
            </w:r>
            <w:r>
              <w:rPr>
                <w:rFonts w:hint="eastAsia"/>
              </w:rPr>
              <w:t>. 目标、方案</w:t>
            </w:r>
          </w:p>
          <w:p>
            <w:pPr>
              <w:spacing w:line="300" w:lineRule="exact"/>
            </w:pPr>
            <w:r>
              <w:rPr>
                <w:rFonts w:hint="eastAsia"/>
              </w:rPr>
              <w:t>（在相关层次上建立可测量的目标，目标、方案的有效性，对质量目标的实现情况进行评价并叙述测量方法）</w:t>
            </w:r>
          </w:p>
          <w:p>
            <w:pPr>
              <w:spacing w:line="300" w:lineRule="exact"/>
              <w:ind w:firstLine="420" w:firstLineChars="200"/>
            </w:pPr>
            <w:r>
              <w:rPr>
                <w:rFonts w:hint="eastAsia"/>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p>
          <w:p>
            <w:pPr>
              <w:spacing w:line="240" w:lineRule="exact"/>
              <w:rPr>
                <w:rFonts w:hint="eastAsia"/>
                <w:lang w:val="en-US" w:eastAsia="zh-CN"/>
              </w:rPr>
            </w:pPr>
            <w:r>
              <w:rPr>
                <w:rFonts w:hint="eastAsia"/>
              </w:rPr>
              <w:t>质量</w:t>
            </w:r>
            <w:r>
              <w:rPr>
                <w:rFonts w:hint="eastAsia"/>
                <w:lang w:val="en-US" w:eastAsia="zh-CN"/>
              </w:rPr>
              <w:t>目标</w:t>
            </w:r>
          </w:p>
          <w:p>
            <w:pPr>
              <w:pStyle w:val="2"/>
              <w:rPr>
                <w:rFonts w:hint="eastAsia"/>
                <w:lang w:val="en-US" w:eastAsia="zh-CN"/>
              </w:rPr>
            </w:pPr>
            <w:r>
              <w:rPr>
                <w:rFonts w:hint="eastAsia"/>
                <w:lang w:val="en-US" w:eastAsia="zh-CN"/>
              </w:rPr>
              <w:t>1.项目开发合格率100%；</w:t>
            </w:r>
          </w:p>
          <w:p>
            <w:pPr>
              <w:pStyle w:val="2"/>
              <w:rPr>
                <w:rFonts w:hint="eastAsia"/>
                <w:lang w:val="en-US" w:eastAsia="zh-CN"/>
              </w:rPr>
            </w:pPr>
            <w:r>
              <w:rPr>
                <w:rFonts w:hint="eastAsia"/>
                <w:lang w:val="en-US" w:eastAsia="zh-CN"/>
              </w:rPr>
              <w:t>2.顾客满意度达到90分以上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szCs w:val="21"/>
              </w:rPr>
            </w:pPr>
            <w:r>
              <w:rPr>
                <w:rFonts w:hint="eastAsia" w:ascii="宋体" w:hAnsi="宋体"/>
                <w:b/>
                <w:szCs w:val="21"/>
              </w:rPr>
              <w:t>10</w:t>
            </w:r>
            <w:r>
              <w:rPr>
                <w:rFonts w:ascii="宋体" w:hAnsi="宋体"/>
                <w:b/>
                <w:szCs w:val="21"/>
              </w:rPr>
              <w:t xml:space="preserve">. </w:t>
            </w:r>
            <w:r>
              <w:rPr>
                <w:rFonts w:hint="eastAsia" w:ascii="宋体" w:hAnsi="宋体"/>
                <w:b/>
                <w:szCs w:val="21"/>
              </w:rPr>
              <w:t>文件与记录控制</w:t>
            </w:r>
            <w:r>
              <w:rPr>
                <w:rFonts w:ascii="宋体" w:hAnsi="宋体"/>
                <w:b/>
                <w:szCs w:val="21"/>
              </w:rPr>
              <w:t>(</w:t>
            </w:r>
            <w:r>
              <w:rPr>
                <w:rFonts w:hint="eastAsia" w:ascii="宋体" w:hAnsi="宋体"/>
                <w:b/>
                <w:szCs w:val="21"/>
              </w:rPr>
              <w:t>文审修订后文件与标准的符合程度评价、文件控制管理等</w:t>
            </w:r>
            <w:r>
              <w:rPr>
                <w:rFonts w:ascii="宋体" w:hAnsi="宋体"/>
                <w:b/>
                <w:szCs w:val="21"/>
              </w:rPr>
              <w:t>)</w:t>
            </w:r>
          </w:p>
          <w:p>
            <w:pPr>
              <w:tabs>
                <w:tab w:val="left" w:pos="540"/>
              </w:tabs>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szCs w:val="21"/>
              </w:rPr>
              <w:t>公司编制了《文件、记录控制程序》并按照申请认证的标准要求，建立并形成了文件化的质量管理体系，体系文件对管理体系各过程进行了识别确定，明确了各要素间的相互关系及其管控要求。公司新版体系文件于20</w:t>
            </w:r>
            <w:r>
              <w:rPr>
                <w:rFonts w:hint="eastAsia" w:ascii="宋体" w:hAnsi="宋体" w:cs="宋体"/>
                <w:szCs w:val="21"/>
                <w:lang w:val="en-US" w:eastAsia="zh-CN"/>
              </w:rPr>
              <w:t>20</w:t>
            </w:r>
            <w:r>
              <w:rPr>
                <w:rFonts w:hint="eastAsia" w:ascii="宋体" w:hAnsi="宋体" w:cs="宋体"/>
                <w:szCs w:val="21"/>
              </w:rPr>
              <w:t>年1月</w:t>
            </w:r>
            <w:r>
              <w:rPr>
                <w:rFonts w:hint="eastAsia" w:ascii="宋体" w:hAnsi="宋体" w:cs="宋体"/>
                <w:szCs w:val="21"/>
                <w:lang w:val="en-US" w:eastAsia="zh-CN"/>
              </w:rPr>
              <w:t>8</w:t>
            </w:r>
            <w:r>
              <w:rPr>
                <w:rFonts w:hint="eastAsia" w:ascii="宋体" w:hAnsi="宋体" w:cs="宋体"/>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rFonts w:ascii="宋体" w:hAnsi="宋体"/>
                <w:b/>
                <w:szCs w:val="21"/>
              </w:rPr>
            </w:pPr>
            <w:r>
              <w:rPr>
                <w:rFonts w:hint="eastAsia" w:ascii="宋体" w:hAnsi="宋体"/>
                <w:b/>
                <w:szCs w:val="21"/>
              </w:rPr>
              <w:t>人力资源的简要说明</w:t>
            </w:r>
            <w:r>
              <w:rPr>
                <w:rFonts w:ascii="宋体" w:hAnsi="宋体"/>
                <w:b/>
                <w:szCs w:val="21"/>
              </w:rPr>
              <w:t>.:</w:t>
            </w:r>
          </w:p>
          <w:p>
            <w:pPr>
              <w:tabs>
                <w:tab w:val="left" w:pos="2552"/>
              </w:tabs>
              <w:spacing w:line="0" w:lineRule="atLeast"/>
              <w:ind w:firstLine="420" w:firstLineChars="200"/>
              <w:rPr>
                <w:rFonts w:ascii="宋体" w:hAnsi="宋体" w:cs="宋体"/>
                <w:szCs w:val="21"/>
              </w:rPr>
            </w:pPr>
            <w:r>
              <w:rPr>
                <w:rFonts w:hint="eastAsia" w:ascii="宋体" w:hAnsi="宋体" w:cs="宋体"/>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eastAsia="宋体" w:cs="Times New Roman"/>
                <w:b/>
                <w:kern w:val="2"/>
                <w:sz w:val="21"/>
                <w:szCs w:val="21"/>
                <w:lang w:val="en-US" w:eastAsia="zh-CN" w:bidi="ar-SA"/>
              </w:rPr>
            </w:pPr>
            <w:r>
              <w:rPr>
                <w:rFonts w:hint="eastAsia" w:ascii="宋体" w:hAnsi="宋体" w:cs="宋体"/>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Cs w:val="21"/>
              </w:rPr>
            </w:pPr>
            <w:r>
              <w:rPr>
                <w:rFonts w:hint="eastAsia" w:ascii="宋体" w:hAnsi="宋体"/>
                <w:b/>
                <w:szCs w:val="21"/>
              </w:rPr>
              <w:t>设备设施（包括信息系统）、</w:t>
            </w:r>
          </w:p>
          <w:p>
            <w:pPr>
              <w:spacing w:line="320" w:lineRule="exact"/>
              <w:rPr>
                <w:rFonts w:ascii="宋体" w:hAnsi="宋体" w:eastAsia="宋体" w:cs="Times New Roman"/>
                <w:b/>
                <w:kern w:val="2"/>
                <w:sz w:val="21"/>
                <w:szCs w:val="21"/>
                <w:lang w:val="en-US" w:eastAsia="zh-CN" w:bidi="ar-SA"/>
              </w:rPr>
            </w:pPr>
            <w:r>
              <w:rPr>
                <w:rFonts w:hint="eastAsia" w:ascii="宋体" w:hAnsi="宋体"/>
                <w:sz w:val="21"/>
                <w:szCs w:val="21"/>
                <w:highlight w:val="none"/>
              </w:rPr>
              <w:t>办公</w:t>
            </w:r>
            <w:r>
              <w:rPr>
                <w:rFonts w:hint="eastAsia" w:ascii="宋体" w:hAnsi="宋体"/>
                <w:sz w:val="21"/>
                <w:szCs w:val="21"/>
                <w:highlight w:val="none"/>
                <w:lang w:val="en-US" w:eastAsia="zh-CN"/>
              </w:rPr>
              <w:t>及产品组装</w:t>
            </w:r>
            <w:r>
              <w:rPr>
                <w:rFonts w:hint="eastAsia" w:ascii="宋体" w:hAnsi="宋体"/>
                <w:sz w:val="21"/>
                <w:szCs w:val="21"/>
                <w:highlight w:val="none"/>
              </w:rPr>
              <w:t>面积</w:t>
            </w:r>
            <w:r>
              <w:rPr>
                <w:rFonts w:hint="eastAsia" w:ascii="宋体" w:hAnsi="宋体"/>
                <w:sz w:val="21"/>
                <w:szCs w:val="21"/>
                <w:highlight w:val="none"/>
                <w:lang w:val="en-US" w:eastAsia="zh-CN"/>
              </w:rPr>
              <w:t>830</w:t>
            </w:r>
            <w:r>
              <w:rPr>
                <w:rFonts w:hint="eastAsia" w:ascii="宋体" w:hAnsi="宋体"/>
                <w:sz w:val="21"/>
                <w:szCs w:val="21"/>
                <w:highlight w:val="none"/>
              </w:rPr>
              <w:t>平方左右，</w:t>
            </w:r>
            <w:r>
              <w:rPr>
                <w:rFonts w:hint="eastAsia" w:ascii="宋体" w:hAnsi="宋体" w:cs="宋体"/>
                <w:szCs w:val="21"/>
                <w:highlight w:val="none"/>
              </w:rPr>
              <w:t>主要生产设备包括：</w:t>
            </w:r>
            <w:r>
              <w:rPr>
                <w:rFonts w:hint="eastAsia" w:ascii="宋体" w:hAnsi="宋体" w:cs="宋体"/>
                <w:color w:val="000000"/>
                <w:szCs w:val="21"/>
                <w:highlight w:val="none"/>
              </w:rPr>
              <w:t>电脑</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打印机、记录仪、一体机、单模块测距装置</w:t>
            </w:r>
            <w:r>
              <w:rPr>
                <w:rFonts w:hint="eastAsia" w:ascii="宋体" w:hAnsi="宋体"/>
                <w:szCs w:val="21"/>
                <w:highlight w:val="none"/>
              </w:rPr>
              <w:t>等</w:t>
            </w:r>
            <w:r>
              <w:rPr>
                <w:rFonts w:hint="eastAsia" w:ascii="宋体" w:hAnsi="宋体" w:cs="宋体"/>
                <w:szCs w:val="21"/>
                <w:highlight w:val="none"/>
              </w:rPr>
              <w:t>，可以满足</w:t>
            </w:r>
            <w:r>
              <w:rPr>
                <w:rFonts w:hint="eastAsia" w:ascii="宋体" w:hAnsi="宋体" w:cs="宋体"/>
                <w:szCs w:val="21"/>
                <w:highlight w:val="none"/>
                <w:lang w:eastAsia="zh-CN"/>
              </w:rPr>
              <w:t>轨道技术（安全防范类）的研发</w:t>
            </w:r>
            <w:r>
              <w:rPr>
                <w:rFonts w:hint="eastAsia" w:ascii="宋体" w:hAnsi="宋体" w:cs="宋体"/>
                <w:szCs w:val="21"/>
                <w:highlight w:val="none"/>
              </w:rPr>
              <w:t>需要。对</w:t>
            </w:r>
            <w:r>
              <w:rPr>
                <w:rFonts w:hint="eastAsia" w:ascii="宋体" w:hAnsi="宋体" w:cs="宋体"/>
                <w:szCs w:val="21"/>
                <w:highlight w:val="none"/>
                <w:lang w:eastAsia="zh-CN"/>
              </w:rPr>
              <w:t>测试软件</w:t>
            </w:r>
            <w:r>
              <w:rPr>
                <w:rFonts w:hint="eastAsia" w:ascii="宋体" w:hAnsi="宋体" w:cs="宋体"/>
                <w:szCs w:val="21"/>
                <w:highlight w:val="none"/>
              </w:rPr>
              <w:t>采取</w:t>
            </w:r>
            <w:r>
              <w:rPr>
                <w:rFonts w:hint="eastAsia" w:ascii="宋体" w:hAnsi="宋体" w:cs="宋体"/>
                <w:szCs w:val="21"/>
                <w:highlight w:val="none"/>
                <w:lang w:eastAsia="zh-CN"/>
              </w:rPr>
              <w:t>自行</w:t>
            </w:r>
            <w:r>
              <w:rPr>
                <w:rFonts w:hint="eastAsia" w:ascii="宋体" w:hAnsi="宋体" w:cs="宋体"/>
                <w:szCs w:val="21"/>
                <w:highlight w:val="none"/>
              </w:rPr>
              <w:t>校准。特种设备：无。公司未建立信息管理系统用于生产和服务。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Cs w:val="21"/>
              </w:rPr>
            </w:pPr>
            <w:r>
              <w:rPr>
                <w:rFonts w:hint="eastAsia" w:ascii="宋体" w:hAnsi="宋体"/>
                <w:b/>
                <w:szCs w:val="21"/>
              </w:rPr>
              <w:t>过程运行环境</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szCs w:val="21"/>
              </w:rPr>
              <w:t>办公区域内设备布置合理，照明设施齐全，均配备了灭火器、消防栓等设施。目前公司</w:t>
            </w:r>
            <w:r>
              <w:rPr>
                <w:rFonts w:hint="eastAsia" w:ascii="宋体" w:hAnsi="宋体"/>
                <w:szCs w:val="21"/>
                <w:lang w:eastAsia="zh-CN"/>
              </w:rPr>
              <w:t>从事服务及工作性质</w:t>
            </w:r>
            <w:r>
              <w:rPr>
                <w:rFonts w:hint="eastAsia" w:ascii="宋体" w:hAnsi="宋体"/>
                <w:szCs w:val="21"/>
                <w:lang w:val="de-DE" w:eastAsia="zh-CN"/>
              </w:rPr>
              <w:t>的对</w:t>
            </w:r>
            <w:r>
              <w:rPr>
                <w:rFonts w:hint="eastAsia" w:ascii="宋体" w:hAnsi="宋体"/>
                <w:szCs w:val="21"/>
              </w:rPr>
              <w:t>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Cs w:val="21"/>
              </w:rPr>
            </w:pPr>
            <w:r>
              <w:rPr>
                <w:rFonts w:hint="eastAsia" w:ascii="宋体" w:hAnsi="宋体"/>
                <w:b/>
                <w:szCs w:val="21"/>
              </w:rPr>
              <w:t>监视和测量资源</w:t>
            </w:r>
          </w:p>
          <w:p>
            <w:pPr>
              <w:spacing w:line="400" w:lineRule="exact"/>
              <w:rPr>
                <w:rFonts w:hint="default" w:ascii="宋体" w:hAnsi="宋体" w:eastAsia="宋体" w:cs="Times New Roman"/>
                <w:b/>
                <w:kern w:val="2"/>
                <w:sz w:val="21"/>
                <w:szCs w:val="21"/>
                <w:lang w:val="en-US" w:eastAsia="zh-CN" w:bidi="ar-SA"/>
              </w:rPr>
            </w:pPr>
            <w:r>
              <w:rPr>
                <w:rFonts w:hint="eastAsia" w:ascii="宋体" w:hAnsi="宋体" w:cs="宋体"/>
                <w:color w:val="000000"/>
                <w:szCs w:val="21"/>
                <w:highlight w:val="none"/>
                <w:lang w:val="en-US" w:eastAsia="zh-CN"/>
              </w:rPr>
              <w:t>有数字多用表，采取外校控制，提供有效的校准证书，见附件。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eastAsia="宋体" w:cs="Times New Roman"/>
                <w:kern w:val="2"/>
                <w:sz w:val="20"/>
                <w:szCs w:val="20"/>
                <w:lang w:val="en-US" w:eastAsia="zh-CN" w:bidi="ar-SA"/>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hint="eastAsia" w:ascii="宋体" w:hAnsi="宋体" w:eastAsia="宋体" w:cs="Times New Roman"/>
                <w:kern w:val="2"/>
                <w:sz w:val="20"/>
                <w:szCs w:val="20"/>
                <w:lang w:val="en-US" w:eastAsia="zh-CN" w:bidi="ar-SA"/>
              </w:rPr>
            </w:pPr>
            <w:r>
              <w:rPr>
                <w:rFonts w:hint="eastAsia" w:ascii="宋体" w:hAnsi="宋体"/>
                <w:sz w:val="20"/>
                <w:szCs w:val="20"/>
                <w:lang w:eastAsia="zh-CN"/>
              </w:rPr>
              <w:t>配电箱</w:t>
            </w:r>
            <w:r>
              <w:rPr>
                <w:rFonts w:hint="eastAsia" w:ascii="宋体" w:hAnsi="宋体"/>
                <w:sz w:val="20"/>
                <w:szCs w:val="20"/>
              </w:rPr>
              <w:t>、灭火器</w:t>
            </w:r>
            <w:r>
              <w:rPr>
                <w:rFonts w:hint="eastAsia" w:ascii="宋体" w:hAnsi="宋体"/>
                <w:sz w:val="20"/>
                <w:szCs w:val="20"/>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p>
          <w:p>
            <w:pPr>
              <w:spacing w:line="240" w:lineRule="exact"/>
              <w:rPr>
                <w:rFonts w:ascii="楷体_GB2312" w:hAnsi="Times New Roman" w:eastAsia="楷体_GB2312" w:cs="Times New Roman"/>
                <w:b/>
                <w:color w:val="000000" w:themeColor="text1"/>
                <w:kern w:val="2"/>
                <w:sz w:val="21"/>
                <w:szCs w:val="21"/>
                <w:lang w:val="en-US" w:eastAsia="zh-CN" w:bidi="ar-SA"/>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rFonts w:hint="eastAsia" w:eastAsia="宋体"/>
                <w:b/>
                <w:color w:val="000000" w:themeColor="text1"/>
                <w:sz w:val="20"/>
                <w:szCs w:val="20"/>
                <w:lang w:val="en-US" w:eastAsia="zh-CN"/>
              </w:rPr>
            </w:pPr>
            <w:r>
              <w:rPr>
                <w:rFonts w:hint="eastAsia"/>
                <w:b/>
                <w:color w:val="000000" w:themeColor="text1"/>
                <w:sz w:val="20"/>
                <w:szCs w:val="20"/>
                <w:lang w:val="en-US" w:eastAsia="zh-CN"/>
              </w:rPr>
              <w:t>合格</w:t>
            </w:r>
          </w:p>
          <w:p>
            <w:pPr>
              <w:spacing w:line="300" w:lineRule="exact"/>
              <w:ind w:firstLine="197" w:firstLineChars="98"/>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公司制定、发布了总体目标并分解到相关职能部门和层次，规定了目标值、计算方法、责任部门、检</w:t>
            </w:r>
            <w:r>
              <w:rPr>
                <w:rFonts w:hint="eastAsia" w:ascii="宋体" w:hAnsi="宋体" w:cs="宋体"/>
                <w:color w:val="000000"/>
                <w:szCs w:val="21"/>
                <w:highlight w:val="none"/>
              </w:rPr>
              <w:t>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未提供2020年7月至9月份的目标的测量统计记录，需整改</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公司建立了顾客满意度监视和测量控制程序，对顾客投诉处理及顾客满意度评价做了明确的规定，并</w:t>
            </w:r>
            <w:r>
              <w:rPr>
                <w:rFonts w:hint="eastAsia" w:ascii="宋体" w:hAnsi="宋体" w:cs="宋体"/>
                <w:color w:val="000000"/>
                <w:szCs w:val="21"/>
                <w:highlight w:val="none"/>
              </w:rPr>
              <w:t>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月实施，满意度评价9</w:t>
            </w:r>
            <w:r>
              <w:rPr>
                <w:rFonts w:hint="eastAsia" w:ascii="宋体" w:hAnsi="宋体" w:cs="宋体"/>
                <w:szCs w:val="21"/>
                <w:highlight w:val="none"/>
                <w:lang w:val="en-US" w:eastAsia="zh-CN"/>
              </w:rPr>
              <w:t>6</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rFonts w:ascii="Times New Roman" w:hAnsi="Times New Roman" w:eastAsia="宋体" w:cs="Times New Roman"/>
                <w:b/>
                <w:color w:val="FF0000"/>
                <w:kern w:val="2"/>
                <w:sz w:val="20"/>
                <w:szCs w:val="20"/>
                <w:lang w:val="en-US" w:eastAsia="zh-CN" w:bidi="ar-SA"/>
              </w:rPr>
            </w:pPr>
            <w:r>
              <w:rPr>
                <w:rFonts w:hint="eastAsia" w:ascii="宋体" w:hAnsi="宋体"/>
                <w:szCs w:val="21"/>
              </w:rPr>
              <w:t>建立有《内部审核控制程序》，规定了内审频次一年一次，内审时间：20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22</w:t>
            </w:r>
            <w:r>
              <w:rPr>
                <w:rFonts w:hint="eastAsia" w:ascii="宋体" w:hAnsi="宋体"/>
                <w:szCs w:val="21"/>
              </w:rPr>
              <w:t>日，拟定了审核实施表，明确了内审范围，内审人员经培训合格上岗，能力满足要求，未出现审核本部门情况，内审不符合项1项，涉及</w:t>
            </w:r>
            <w:r>
              <w:rPr>
                <w:rFonts w:hint="eastAsia" w:ascii="宋体" w:hAnsi="宋体"/>
                <w:szCs w:val="21"/>
                <w:lang w:eastAsia="zh-CN"/>
              </w:rPr>
              <w:t>技术研发部</w:t>
            </w:r>
            <w:r>
              <w:rPr>
                <w:rFonts w:hint="eastAsia" w:ascii="宋体" w:hAnsi="宋体"/>
                <w:szCs w:val="21"/>
                <w:lang w:val="en-US" w:eastAsia="zh-CN"/>
              </w:rPr>
              <w:t>Q7.5.5条款</w:t>
            </w:r>
            <w:r>
              <w:rPr>
                <w:rFonts w:hint="eastAsia" w:ascii="宋体" w:hAnsi="宋体"/>
                <w:szCs w:val="21"/>
              </w:rPr>
              <w:t xml:space="preserve"> </w:t>
            </w:r>
            <w:r>
              <w:rPr>
                <w:rFonts w:hint="eastAsia" w:ascii="宋体" w:hAnsi="宋体" w:cs="Times New Roman"/>
                <w:szCs w:val="21"/>
                <w:lang w:val="en-US" w:eastAsia="zh-CN"/>
              </w:rPr>
              <w:t>抽查技术研发部文件的归类不规范，不便于检索</w:t>
            </w: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4</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ascii="Times New Roman" w:hAnsi="Times New Roman" w:eastAsia="宋体" w:cs="Times New Roman"/>
                <w:b/>
                <w:color w:val="000000" w:themeColor="text1"/>
                <w:spacing w:val="-20"/>
                <w:kern w:val="2"/>
                <w:sz w:val="20"/>
                <w:szCs w:val="20"/>
                <w:lang w:val="en-US" w:eastAsia="zh-CN" w:bidi="ar-SA"/>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 xml:space="preserve">1 </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 xml:space="preserve">0 </w:t>
      </w:r>
      <w:r>
        <w:rPr>
          <w:rFonts w:hint="eastAsia"/>
          <w:b/>
          <w:color w:val="000000" w:themeColor="text1"/>
        </w:rPr>
        <w:t>项，一般不符合</w:t>
      </w:r>
      <w:r>
        <w:rPr>
          <w:rFonts w:hint="eastAsia"/>
          <w:b/>
          <w:color w:val="000000" w:themeColor="text1"/>
          <w:lang w:val="en-US" w:eastAsia="zh-CN"/>
        </w:rPr>
        <w:t xml:space="preserve"> 1 </w:t>
      </w:r>
      <w:r>
        <w:rPr>
          <w:rFonts w:hint="eastAsia"/>
          <w:b/>
          <w:color w:val="000000" w:themeColor="text1"/>
        </w:rPr>
        <w:t>项，观察项</w:t>
      </w:r>
      <w:r>
        <w:rPr>
          <w:rFonts w:hint="eastAsia"/>
          <w:b/>
          <w:color w:val="000000" w:themeColor="text1"/>
          <w:lang w:val="en-US" w:eastAsia="zh-CN"/>
        </w:rPr>
        <w:t xml:space="preserve"> 0 </w:t>
      </w:r>
      <w:r>
        <w:rPr>
          <w:rFonts w:hint="eastAsia"/>
          <w:b/>
          <w:color w:val="000000" w:themeColor="text1"/>
        </w:rPr>
        <w:t>项分布在</w:t>
      </w:r>
      <w:r>
        <w:rPr>
          <w:rFonts w:hint="eastAsia"/>
          <w:b/>
          <w:color w:val="000000" w:themeColor="text1"/>
          <w:lang w:val="en-US" w:eastAsia="zh-CN"/>
        </w:rPr>
        <w:t>行政人事</w:t>
      </w:r>
      <w:r>
        <w:rPr>
          <w:rFonts w:hint="eastAsia"/>
          <w:b/>
          <w:color w:val="000000" w:themeColor="text1"/>
        </w:rPr>
        <w:t>部门</w:t>
      </w:r>
      <w:r>
        <w:rPr>
          <w:rFonts w:hint="eastAsia"/>
          <w:b/>
          <w:color w:val="000000" w:themeColor="text1"/>
          <w:lang w:val="en-US" w:eastAsia="zh-CN"/>
        </w:rPr>
        <w:t>Q9.1.3 条</w:t>
      </w:r>
      <w:r>
        <w:rPr>
          <w:rFonts w:hint="eastAsia"/>
          <w:b/>
          <w:color w:val="000000" w:themeColor="text1"/>
        </w:rPr>
        <w:t>款，分布见附件。（Q/J/E/S分开填写）</w:t>
      </w:r>
    </w:p>
    <w:p>
      <w:pPr>
        <w:tabs>
          <w:tab w:val="left" w:pos="215"/>
          <w:tab w:val="left" w:pos="430"/>
        </w:tabs>
        <w:spacing w:line="360" w:lineRule="auto"/>
        <w:ind w:left="-190" w:leftChars="-472" w:hanging="801" w:hangingChars="380"/>
        <w:rPr>
          <w:rFonts w:hint="eastAsia"/>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bookmarkStart w:id="23" w:name="_GoBack"/>
      <w:bookmarkEnd w:id="23"/>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lang w:eastAsia="zh-CN"/>
              </w:rPr>
              <w:t>轨道技术（安全防范类）的研发。</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zCs w:val="21"/>
              </w:rPr>
              <w:t xml:space="preserve">■在完成纠正措施后推荐认证注册(■QMS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w:t>
      </w:r>
      <w:r>
        <w:rPr>
          <w:rFonts w:hint="eastAsia"/>
          <w:b/>
          <w:color w:val="000000" w:themeColor="text1"/>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16</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2"/>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051B19"/>
    <w:rsid w:val="054306F6"/>
    <w:rsid w:val="0B7D249D"/>
    <w:rsid w:val="171E7138"/>
    <w:rsid w:val="35B164F1"/>
    <w:rsid w:val="36AF027A"/>
    <w:rsid w:val="50AD47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bCs/>
      <w:kern w:val="0"/>
      <w:sz w:val="28"/>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character" w:customStyle="1" w:styleId="18">
    <w:name w:val="占位符文本1"/>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19</TotalTime>
  <ScaleCrop>false</ScaleCrop>
  <LinksUpToDate>false</LinksUpToDate>
  <CharactersWithSpaces>5143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2020-10-16T03:51:38Z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