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CB0" w:rsidRDefault="002F7B88" w:rsidP="00F509B9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C86CB0" w:rsidRDefault="002F7B88" w:rsidP="00F509B9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201"/>
        <w:gridCol w:w="1329"/>
        <w:gridCol w:w="1290"/>
        <w:gridCol w:w="1505"/>
        <w:gridCol w:w="1720"/>
        <w:gridCol w:w="1379"/>
      </w:tblGrid>
      <w:tr w:rsidR="00C86CB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86CB0" w:rsidRDefault="002F7B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C86CB0" w:rsidRDefault="002F7B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成都恒通恒泰科技有限公司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C86CB0" w:rsidRDefault="002F7B8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86CB0" w:rsidRDefault="002F7B8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C86CB0" w:rsidRDefault="002F7B8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19.09.02</w:t>
            </w:r>
          </w:p>
          <w:p w:rsidR="00C86CB0" w:rsidRDefault="002F7B8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19.09.02</w:t>
            </w:r>
          </w:p>
          <w:p w:rsidR="00C86CB0" w:rsidRDefault="002F7B8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19.09.02</w:t>
            </w:r>
            <w:bookmarkEnd w:id="5"/>
          </w:p>
        </w:tc>
      </w:tr>
      <w:tr w:rsidR="00C86CB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86CB0" w:rsidRDefault="002F7B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C86CB0" w:rsidRDefault="002F7B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C86CB0" w:rsidRDefault="002F7B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86CB0" w:rsidRDefault="002F7B8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19.09.02</w:t>
            </w:r>
          </w:p>
          <w:p w:rsidR="00C86CB0" w:rsidRDefault="002F7B8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19.09.02</w:t>
            </w:r>
          </w:p>
        </w:tc>
        <w:tc>
          <w:tcPr>
            <w:tcW w:w="1720" w:type="dxa"/>
            <w:vAlign w:val="center"/>
          </w:tcPr>
          <w:p w:rsidR="00C86CB0" w:rsidRDefault="002F7B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C86CB0" w:rsidRDefault="002F7B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C86CB0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C86CB0" w:rsidRDefault="002F7B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86CB0" w:rsidRDefault="002F7B8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1" w:type="dxa"/>
            <w:vAlign w:val="center"/>
          </w:tcPr>
          <w:p w:rsidR="00C86CB0" w:rsidRDefault="002F7B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329" w:type="dxa"/>
            <w:vAlign w:val="center"/>
          </w:tcPr>
          <w:p w:rsidR="00C86CB0" w:rsidRDefault="002F7B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290" w:type="dxa"/>
            <w:vAlign w:val="center"/>
          </w:tcPr>
          <w:p w:rsidR="00C86CB0" w:rsidRDefault="002F7B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宋明珠</w:t>
            </w:r>
          </w:p>
        </w:tc>
        <w:tc>
          <w:tcPr>
            <w:tcW w:w="1505" w:type="dxa"/>
            <w:vAlign w:val="center"/>
          </w:tcPr>
          <w:p w:rsidR="00C86CB0" w:rsidRDefault="00C86C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86CB0" w:rsidRDefault="00C86C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86CB0" w:rsidRDefault="00C86C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86CB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C86CB0" w:rsidRDefault="00C86C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C86CB0" w:rsidRDefault="002F7B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01" w:type="dxa"/>
            <w:vAlign w:val="center"/>
          </w:tcPr>
          <w:p w:rsidR="00C86CB0" w:rsidRDefault="002F7B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329" w:type="dxa"/>
            <w:vAlign w:val="center"/>
          </w:tcPr>
          <w:p w:rsidR="00C86CB0" w:rsidRDefault="002F7B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C86CB0" w:rsidRDefault="002F7B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C86CB0" w:rsidRDefault="00C86C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86CB0" w:rsidRDefault="00C86C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86CB0" w:rsidRDefault="00C86C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86CB0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86CB0" w:rsidRDefault="002F7B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86CB0" w:rsidRDefault="002F7B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C86CB0" w:rsidRDefault="002F7B8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一二次融合成套柱上断路器的生产流程：</w:t>
            </w:r>
          </w:p>
          <w:p w:rsidR="00C86CB0" w:rsidRDefault="002F7B8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装配绝缘拉杆——灭弧室装配———绝缘筒装配——辅助开关安装——分闸弹簧安装——框架固定——操作指示轴安装——绝缘筒组装——连接板安装——辅助开关安装——传动机构安装——电流互感器安装——</w:t>
            </w:r>
            <w:r>
              <w:rPr>
                <w:rFonts w:ascii="宋体" w:hAnsi="宋体" w:cs="宋体" w:hint="eastAsia"/>
                <w:sz w:val="21"/>
                <w:szCs w:val="21"/>
              </w:rPr>
              <w:t>ADMU</w:t>
            </w:r>
            <w:r>
              <w:rPr>
                <w:rFonts w:ascii="宋体" w:hAnsi="宋体" w:cs="宋体" w:hint="eastAsia"/>
                <w:sz w:val="21"/>
                <w:szCs w:val="21"/>
              </w:rPr>
              <w:t>模块安装——线缆固定。</w:t>
            </w:r>
          </w:p>
          <w:p w:rsidR="00C86CB0" w:rsidRDefault="00C86CB0">
            <w:pPr>
              <w:ind w:firstLineChars="100" w:firstLine="210"/>
              <w:rPr>
                <w:rFonts w:ascii="宋体" w:hAnsi="宋体" w:cs="宋体"/>
                <w:sz w:val="21"/>
                <w:szCs w:val="21"/>
              </w:rPr>
            </w:pPr>
          </w:p>
          <w:p w:rsidR="00C86CB0" w:rsidRDefault="002F7B88">
            <w:pPr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装配和检测为关键过程。</w:t>
            </w:r>
          </w:p>
        </w:tc>
      </w:tr>
      <w:tr w:rsidR="00C86CB0">
        <w:trPr>
          <w:cantSplit/>
          <w:trHeight w:val="121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86CB0" w:rsidRDefault="002F7B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86CB0" w:rsidRDefault="002F7B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86CB0" w:rsidRDefault="002F7B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</w:tcPr>
          <w:p w:rsidR="00C86CB0" w:rsidRDefault="00C86CB0">
            <w:pPr>
              <w:rPr>
                <w:sz w:val="21"/>
                <w:szCs w:val="21"/>
              </w:rPr>
            </w:pPr>
          </w:p>
          <w:p w:rsidR="00C86CB0" w:rsidRDefault="00C86CB0">
            <w:pPr>
              <w:rPr>
                <w:sz w:val="21"/>
                <w:szCs w:val="21"/>
              </w:rPr>
            </w:pPr>
          </w:p>
          <w:p w:rsidR="00C86CB0" w:rsidRDefault="002F7B88"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生产过程，依据作业指导书控制。</w:t>
            </w:r>
          </w:p>
        </w:tc>
      </w:tr>
      <w:tr w:rsidR="00C86CB0">
        <w:trPr>
          <w:cantSplit/>
          <w:trHeight w:val="101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86CB0" w:rsidRDefault="002F7B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C86CB0" w:rsidRDefault="002F7B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固废、噪声和潜在火灾，采取分类收集、管理方案和预案措施管理。</w:t>
            </w:r>
          </w:p>
        </w:tc>
      </w:tr>
      <w:tr w:rsidR="00C86CB0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86CB0" w:rsidRDefault="002F7B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C86CB0" w:rsidRDefault="002F7B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机械伤害、火灾、触电，采取制定管理方案控制，潜在火灾采取应急预案并演练方式进行控制</w:t>
            </w:r>
          </w:p>
        </w:tc>
      </w:tr>
      <w:tr w:rsidR="00C86CB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86CB0" w:rsidRDefault="002F7B8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C86CB0" w:rsidRDefault="002F7B88">
            <w:pPr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《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高压交流断路器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GB 1984</w:t>
            </w:r>
            <w:r>
              <w:rPr>
                <w:rFonts w:ascii="宋体" w:hAnsi="宋体" w:cs="宋体" w:hint="eastAsia"/>
                <w:sz w:val="21"/>
                <w:szCs w:val="21"/>
              </w:rPr>
              <w:t>》、《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交流高压断路器参数选用导则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DL/T 615</w:t>
            </w:r>
            <w:r>
              <w:rPr>
                <w:rFonts w:ascii="宋体" w:hAnsi="宋体" w:cs="宋体" w:hint="eastAsia"/>
                <w:sz w:val="21"/>
                <w:szCs w:val="21"/>
              </w:rPr>
              <w:t>》、《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高电压试验技术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GB/T 7354</w:t>
            </w:r>
            <w:r>
              <w:rPr>
                <w:rFonts w:ascii="宋体" w:hAnsi="宋体" w:cs="宋体" w:hint="eastAsia"/>
                <w:sz w:val="21"/>
                <w:szCs w:val="21"/>
              </w:rPr>
              <w:t>》等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</w:tr>
      <w:tr w:rsidR="00C86CB0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86CB0" w:rsidRDefault="002F7B8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C86CB0" w:rsidRDefault="002F7B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检验项目：外观、电气性能等</w:t>
            </w:r>
          </w:p>
        </w:tc>
      </w:tr>
      <w:tr w:rsidR="00C86CB0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86CB0" w:rsidRDefault="002F7B8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C86CB0" w:rsidRDefault="00F509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C86CB0" w:rsidRDefault="002F7B88">
      <w:pPr>
        <w:snapToGrid w:val="0"/>
        <w:rPr>
          <w:b/>
          <w:sz w:val="22"/>
          <w:szCs w:val="22"/>
        </w:rPr>
      </w:pPr>
      <w:bookmarkStart w:id="6" w:name="_GoBack"/>
      <w:bookmarkEnd w:id="6"/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2020</w:t>
      </w:r>
      <w:r>
        <w:rPr>
          <w:rFonts w:hint="eastAsia"/>
          <w:b/>
          <w:sz w:val="22"/>
          <w:szCs w:val="22"/>
        </w:rPr>
        <w:t>.</w:t>
      </w:r>
      <w:r>
        <w:rPr>
          <w:rFonts w:hint="eastAsia"/>
          <w:b/>
          <w:sz w:val="22"/>
          <w:szCs w:val="22"/>
        </w:rPr>
        <w:t>10</w:t>
      </w:r>
      <w:r>
        <w:rPr>
          <w:rFonts w:hint="eastAsia"/>
          <w:b/>
          <w:sz w:val="22"/>
          <w:szCs w:val="22"/>
        </w:rPr>
        <w:t>.</w:t>
      </w:r>
      <w:r>
        <w:rPr>
          <w:rFonts w:hint="eastAsia"/>
          <w:b/>
          <w:sz w:val="22"/>
          <w:szCs w:val="22"/>
        </w:rPr>
        <w:t>16</w:t>
      </w:r>
      <w:r>
        <w:rPr>
          <w:rFonts w:hint="eastAsia"/>
          <w:b/>
          <w:sz w:val="22"/>
          <w:szCs w:val="22"/>
        </w:rPr>
        <w:t xml:space="preserve">         </w:t>
      </w:r>
      <w:r>
        <w:rPr>
          <w:rFonts w:hint="eastAsia"/>
          <w:b/>
          <w:sz w:val="22"/>
          <w:szCs w:val="22"/>
        </w:rPr>
        <w:t>审核组长：</w:t>
      </w:r>
      <w:r>
        <w:rPr>
          <w:rFonts w:hint="eastAsia"/>
          <w:b/>
          <w:sz w:val="22"/>
          <w:szCs w:val="22"/>
        </w:rPr>
        <w:t xml:space="preserve">            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</w:t>
      </w:r>
      <w:r>
        <w:rPr>
          <w:rFonts w:hint="eastAsia"/>
          <w:b/>
          <w:sz w:val="22"/>
          <w:szCs w:val="22"/>
        </w:rPr>
        <w:t>.</w:t>
      </w:r>
      <w:r>
        <w:rPr>
          <w:rFonts w:hint="eastAsia"/>
          <w:b/>
          <w:sz w:val="22"/>
          <w:szCs w:val="22"/>
        </w:rPr>
        <w:t>10</w:t>
      </w:r>
      <w:r>
        <w:rPr>
          <w:rFonts w:hint="eastAsia"/>
          <w:b/>
          <w:sz w:val="22"/>
          <w:szCs w:val="22"/>
        </w:rPr>
        <w:t>.</w:t>
      </w:r>
      <w:r>
        <w:rPr>
          <w:rFonts w:hint="eastAsia"/>
          <w:b/>
          <w:sz w:val="22"/>
          <w:szCs w:val="22"/>
        </w:rPr>
        <w:t>16</w:t>
      </w:r>
    </w:p>
    <w:p w:rsidR="00C86CB0" w:rsidRDefault="002F7B88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C86CB0" w:rsidSect="00C86CB0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B88" w:rsidRDefault="002F7B88" w:rsidP="00C86CB0">
      <w:r>
        <w:separator/>
      </w:r>
    </w:p>
  </w:endnote>
  <w:endnote w:type="continuationSeparator" w:id="0">
    <w:p w:rsidR="002F7B88" w:rsidRDefault="002F7B88" w:rsidP="00C86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B88" w:rsidRDefault="002F7B88" w:rsidP="00C86CB0">
      <w:r>
        <w:separator/>
      </w:r>
    </w:p>
  </w:footnote>
  <w:footnote w:type="continuationSeparator" w:id="0">
    <w:p w:rsidR="002F7B88" w:rsidRDefault="002F7B88" w:rsidP="00C86C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CB0" w:rsidRDefault="00C86CB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C86CB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2F7B88">
      <w:rPr>
        <w:rStyle w:val="CharChar1"/>
        <w:rFonts w:hint="default"/>
      </w:rPr>
      <w:t>北京国标联合认证有限公司</w:t>
    </w:r>
    <w:r w:rsidR="002F7B88">
      <w:rPr>
        <w:rStyle w:val="CharChar1"/>
        <w:rFonts w:hint="default"/>
      </w:rPr>
      <w:tab/>
    </w:r>
    <w:r w:rsidR="002F7B88">
      <w:rPr>
        <w:rStyle w:val="CharChar1"/>
        <w:rFonts w:hint="default"/>
      </w:rPr>
      <w:tab/>
    </w:r>
    <w:r w:rsidR="002F7B88">
      <w:rPr>
        <w:rStyle w:val="CharChar1"/>
        <w:rFonts w:hint="default"/>
      </w:rPr>
      <w:tab/>
    </w:r>
  </w:p>
  <w:p w:rsidR="00C86CB0" w:rsidRDefault="00C86CB0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325.25pt;margin-top:2.2pt;width:159.25pt;height:20.2pt;z-index:251658240" stroked="f">
          <v:textbox>
            <w:txbxContent>
              <w:p w:rsidR="00C86CB0" w:rsidRDefault="002F7B88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F7B88">
      <w:rPr>
        <w:rStyle w:val="CharChar1"/>
        <w:rFonts w:hint="default"/>
      </w:rPr>
      <w:t xml:space="preserve">        </w:t>
    </w:r>
    <w:r w:rsidR="002F7B8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F7B88">
      <w:rPr>
        <w:rStyle w:val="CharChar1"/>
        <w:rFonts w:hint="default"/>
        <w:w w:val="90"/>
      </w:rPr>
      <w:t>Co.,Ltd</w:t>
    </w:r>
    <w:proofErr w:type="spellEnd"/>
    <w:r w:rsidR="002F7B88">
      <w:rPr>
        <w:rStyle w:val="CharChar1"/>
        <w:rFonts w:hint="default"/>
        <w:w w:val="90"/>
      </w:rPr>
      <w:t>.</w:t>
    </w:r>
    <w:r w:rsidR="002F7B88">
      <w:rPr>
        <w:rStyle w:val="CharChar1"/>
        <w:rFonts w:hint="default"/>
        <w:w w:val="90"/>
        <w:szCs w:val="21"/>
      </w:rPr>
      <w:t xml:space="preserve">  </w:t>
    </w:r>
    <w:r w:rsidR="002F7B88">
      <w:rPr>
        <w:rStyle w:val="CharChar1"/>
        <w:rFonts w:hint="default"/>
        <w:w w:val="90"/>
        <w:sz w:val="20"/>
      </w:rPr>
      <w:t xml:space="preserve"> </w:t>
    </w:r>
    <w:r w:rsidR="002F7B88">
      <w:rPr>
        <w:rStyle w:val="CharChar1"/>
        <w:rFonts w:hint="default"/>
        <w:w w:val="90"/>
      </w:rPr>
      <w:t xml:space="preserve">                   </w:t>
    </w:r>
  </w:p>
  <w:p w:rsidR="00C86CB0" w:rsidRDefault="00C86CB0">
    <w:pPr>
      <w:pStyle w:val="a5"/>
    </w:pPr>
  </w:p>
  <w:p w:rsidR="00C86CB0" w:rsidRDefault="00C86CB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6CB0"/>
    <w:rsid w:val="002F7B88"/>
    <w:rsid w:val="00C86CB0"/>
    <w:rsid w:val="00F509B9"/>
    <w:rsid w:val="05B54DDC"/>
    <w:rsid w:val="585A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B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6CB0"/>
    <w:rPr>
      <w:sz w:val="18"/>
      <w:szCs w:val="18"/>
    </w:rPr>
  </w:style>
  <w:style w:type="paragraph" w:styleId="a4">
    <w:name w:val="footer"/>
    <w:basedOn w:val="a"/>
    <w:link w:val="Char0"/>
    <w:uiPriority w:val="99"/>
    <w:rsid w:val="00C86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C86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C86CB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C86CB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C86CB0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C86CB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>微软中国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15</cp:revision>
  <dcterms:created xsi:type="dcterms:W3CDTF">2015-06-17T11:40:00Z</dcterms:created>
  <dcterms:modified xsi:type="dcterms:W3CDTF">2020-10-16T07:26:00Z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