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江苏德同环保科技有限公司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李青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1、环保设备生产工艺流程：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采购原材料---主题设备设计---钢材下料---切割---焊接成型---组装---喷漆---检验---出厂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关键过程：设计，特殊过程：焊接、喷漆、销售；对特殊过程编辑了《特殊(关键)过程确认单》，操作过程制定《作业指导书》、《操作规程》，提供《生产过程控制记录》对特殊工序进行过程监控，生产结束后</w:t>
            </w:r>
            <w:bookmarkStart w:id="8" w:name="_GoBack"/>
            <w:bookmarkEnd w:id="8"/>
            <w:r>
              <w:rPr>
                <w:rFonts w:hint="eastAsia"/>
                <w:szCs w:val="22"/>
                <w:lang w:val="en-US" w:eastAsia="zh-CN"/>
              </w:rPr>
              <w:t>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350"/>
              <w:gridCol w:w="39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主要环境因素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973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发生火灾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GB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正常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异常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紧急   </w:t>
                  </w:r>
                </w:p>
              </w:tc>
              <w:tc>
                <w:tcPr>
                  <w:tcW w:w="397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水电消耗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正常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异常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紧急   </w:t>
                  </w:r>
                </w:p>
              </w:tc>
              <w:tc>
                <w:tcPr>
                  <w:tcW w:w="397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管理节能、变频器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固废的排放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正常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异常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紧急   </w:t>
                  </w:r>
                </w:p>
              </w:tc>
              <w:tc>
                <w:tcPr>
                  <w:tcW w:w="397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集中收集、按照规定废品回收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噪声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正常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异常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紧急   </w:t>
                  </w:r>
                </w:p>
              </w:tc>
              <w:tc>
                <w:tcPr>
                  <w:tcW w:w="397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噪声达标管理方案，佩戴劳保用品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5"/>
              <w:tblW w:w="81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2"/>
              <w:gridCol w:w="2182"/>
              <w:gridCol w:w="40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重要危险源</w:t>
                  </w:r>
                </w:p>
              </w:tc>
              <w:tc>
                <w:tcPr>
                  <w:tcW w:w="21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4073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21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073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禁止乱接乱接、日常检查电源线是否老化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1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灼烧</w:t>
                  </w:r>
                </w:p>
              </w:tc>
              <w:tc>
                <w:tcPr>
                  <w:tcW w:w="4073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操作现场禁止吸烟，安全用电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ascii="Arial Narrow" w:hAnsi="宋体"/>
                <w:szCs w:val="21"/>
              </w:rPr>
              <w:t>中华人民共和国消防法</w:t>
            </w:r>
            <w:r>
              <w:rPr>
                <w:rFonts w:hint="eastAsia" w:ascii="Arial Narrow" w:hAnsi="宋体"/>
                <w:szCs w:val="21"/>
                <w:lang w:eastAsia="zh-CN"/>
              </w:rPr>
              <w:t>、</w:t>
            </w:r>
            <w:bookmarkStart w:id="5" w:name="OLE_LINK15"/>
            <w:r>
              <w:rPr>
                <w:rFonts w:ascii="Arial Narrow" w:hAnsi="宋体"/>
                <w:szCs w:val="21"/>
              </w:rPr>
              <w:t>江苏省环境噪声污染防治条例</w:t>
            </w:r>
            <w:bookmarkEnd w:id="5"/>
            <w:r>
              <w:rPr>
                <w:rFonts w:hint="eastAsia" w:ascii="Arial Narrow" w:hAnsi="宋体"/>
                <w:szCs w:val="21"/>
              </w:rPr>
              <w:t>（修订）</w:t>
            </w:r>
            <w:bookmarkStart w:id="6" w:name="OLE_LINK12"/>
            <w:r>
              <w:rPr>
                <w:rFonts w:hint="eastAsia" w:ascii="Arial Narrow" w:hAnsi="宋体"/>
                <w:szCs w:val="21"/>
                <w:lang w:eastAsia="zh-CN"/>
              </w:rPr>
              <w:t>、</w:t>
            </w:r>
            <w:r>
              <w:rPr>
                <w:rFonts w:ascii="Arial Narrow" w:hAnsi="宋体"/>
                <w:szCs w:val="21"/>
              </w:rPr>
              <w:t>中华人民共和国产品质量法</w:t>
            </w:r>
            <w:bookmarkEnd w:id="6"/>
            <w:r>
              <w:rPr>
                <w:rFonts w:hint="eastAsia" w:ascii="Arial Narrow" w:hAnsi="宋体"/>
                <w:szCs w:val="21"/>
                <w:lang w:eastAsia="zh-CN"/>
              </w:rPr>
              <w:t>、</w:t>
            </w:r>
            <w:bookmarkStart w:id="7" w:name="OLE_LINK3"/>
            <w:r>
              <w:rPr>
                <w:rFonts w:ascii="Arial Narrow" w:hAnsi="宋体"/>
                <w:szCs w:val="21"/>
              </w:rPr>
              <w:t>中华人民共和国固体废物污染环境防治法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张磊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2020.10.13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2020.10.13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B3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2020-10-24T08:33:53Z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