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420-2019-QEO-2020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全椒县金台数控机床制造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