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drawing>
          <wp:inline distT="0" distB="0" distL="114300" distR="114300">
            <wp:extent cx="6327775" cy="9095105"/>
            <wp:effectExtent l="0" t="0" r="9525" b="10795"/>
            <wp:docPr id="3" name="图片 3" descr="新文档 2020-10-19 09.30.09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10-19 09.30.09_17"/>
                    <pic:cNvPicPr>
                      <a:picLocks noChangeAspect="1"/>
                    </pic:cNvPicPr>
                  </pic:nvPicPr>
                  <pic:blipFill>
                    <a:blip r:embed="rId5"/>
                    <a:stretch>
                      <a:fillRect/>
                    </a:stretch>
                  </pic:blipFill>
                  <pic:spPr>
                    <a:xfrm>
                      <a:off x="0" y="0"/>
                      <a:ext cx="6327775" cy="9095105"/>
                    </a:xfrm>
                    <a:prstGeom prst="rect">
                      <a:avLst/>
                    </a:prstGeom>
                  </pic:spPr>
                </pic:pic>
              </a:graphicData>
            </a:graphic>
          </wp:inline>
        </w:drawing>
      </w:r>
    </w:p>
    <w:p>
      <w:pPr>
        <w:jc w:val="center"/>
        <w:rPr>
          <w:b/>
          <w:sz w:val="28"/>
          <w:szCs w:val="28"/>
        </w:rPr>
      </w:pPr>
      <w:bookmarkStart w:id="19" w:name="_GoBack"/>
      <w:bookmarkEnd w:id="19"/>
      <w:r>
        <w:rPr>
          <w:rFonts w:hint="eastAsia"/>
          <w:b/>
          <w:sz w:val="28"/>
          <w:szCs w:val="28"/>
        </w:rPr>
        <w:t>审核计划</w:t>
      </w:r>
    </w:p>
    <w:tbl>
      <w:tblPr>
        <w:tblStyle w:val="5"/>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4"/>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石家庄市藁城区华联水泥制品有限公司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4"/>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河北省石家庄市藁城区南孟镇贤庄村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3"/>
            <w:vAlign w:val="center"/>
          </w:tcPr>
          <w:p>
            <w:pPr>
              <w:rPr>
                <w:sz w:val="20"/>
              </w:rPr>
            </w:pPr>
            <w:bookmarkStart w:id="2" w:name="联系人"/>
            <w:r>
              <w:rPr>
                <w:sz w:val="20"/>
              </w:rPr>
              <w:t>王建海</w:t>
            </w:r>
            <w:bookmarkEnd w:id="2"/>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bookmarkStart w:id="3" w:name="联系人电话"/>
            <w:r>
              <w:rPr>
                <w:sz w:val="20"/>
              </w:rPr>
              <w:t>13603218665</w:t>
            </w:r>
            <w:bookmarkEnd w:id="3"/>
          </w:p>
        </w:tc>
        <w:tc>
          <w:tcPr>
            <w:tcW w:w="765" w:type="dxa"/>
            <w:gridSpan w:val="2"/>
            <w:vAlign w:val="center"/>
          </w:tcPr>
          <w:p>
            <w:pPr>
              <w:rPr>
                <w:sz w:val="20"/>
              </w:rPr>
            </w:pPr>
            <w:r>
              <w:rPr>
                <w:rFonts w:hint="eastAsia"/>
                <w:sz w:val="20"/>
              </w:rPr>
              <w:t>邮编</w:t>
            </w:r>
          </w:p>
        </w:tc>
        <w:tc>
          <w:tcPr>
            <w:tcW w:w="2010" w:type="dxa"/>
            <w:gridSpan w:val="3"/>
            <w:vAlign w:val="center"/>
          </w:tcPr>
          <w:p>
            <w:pPr>
              <w:rPr>
                <w:sz w:val="21"/>
                <w:szCs w:val="21"/>
              </w:rPr>
            </w:pPr>
            <w:bookmarkStart w:id="4" w:name="联系人邮箱"/>
            <w:bookmarkEnd w:id="4"/>
            <w:r>
              <w:rPr>
                <w:rFonts w:hint="eastAsia" w:ascii="宋体" w:hAnsi="宋体" w:cs="宋体"/>
                <w:bCs/>
                <w:color w:val="auto"/>
                <w:sz w:val="21"/>
                <w:szCs w:val="21"/>
              </w:rPr>
              <w:t>052161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3"/>
            <w:vAlign w:val="center"/>
          </w:tcPr>
          <w:p>
            <w:pPr>
              <w:rPr>
                <w:sz w:val="20"/>
              </w:rPr>
            </w:pPr>
            <w:bookmarkStart w:id="5" w:name="管理者代表"/>
            <w:r>
              <w:rPr>
                <w:sz w:val="20"/>
              </w:rPr>
              <w:t>王建海</w:t>
            </w:r>
            <w:bookmarkEnd w:id="5"/>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3"/>
            <w:vAlign w:val="center"/>
          </w:tcPr>
          <w:p>
            <w:pPr>
              <w:rPr>
                <w:sz w:val="21"/>
                <w:szCs w:val="21"/>
              </w:rPr>
            </w:pPr>
            <w:r>
              <w:rPr>
                <w:rFonts w:ascii="宋体" w:hAnsi="宋体" w:cs="宋体"/>
                <w:color w:val="auto"/>
                <w:sz w:val="18"/>
                <w:szCs w:val="18"/>
                <w:u w:val="none"/>
              </w:rPr>
              <w:fldChar w:fldCharType="begin"/>
            </w:r>
            <w:r>
              <w:rPr>
                <w:rFonts w:ascii="宋体" w:hAnsi="宋体" w:cs="宋体"/>
                <w:color w:val="auto"/>
                <w:sz w:val="18"/>
                <w:szCs w:val="18"/>
                <w:u w:val="none"/>
              </w:rPr>
              <w:instrText xml:space="preserve"> HYPERLINK "mailto:</w:instrText>
            </w:r>
            <w:r>
              <w:rPr>
                <w:rFonts w:hint="eastAsia" w:ascii="宋体" w:hAnsi="宋体" w:cs="宋体"/>
                <w:color w:val="auto"/>
                <w:sz w:val="18"/>
                <w:szCs w:val="18"/>
                <w:u w:val="none"/>
              </w:rPr>
              <w:instrText xml:space="preserve">1152130657@qq.com</w:instrText>
            </w:r>
            <w:r>
              <w:rPr>
                <w:rFonts w:ascii="宋体" w:hAnsi="宋体" w:cs="宋体"/>
                <w:color w:val="auto"/>
                <w:sz w:val="18"/>
                <w:szCs w:val="18"/>
                <w:u w:val="none"/>
              </w:rPr>
              <w:instrText xml:space="preserve">" </w:instrText>
            </w:r>
            <w:r>
              <w:rPr>
                <w:rFonts w:ascii="宋体" w:hAnsi="宋体" w:cs="宋体"/>
                <w:color w:val="auto"/>
                <w:sz w:val="18"/>
                <w:szCs w:val="18"/>
                <w:u w:val="none"/>
              </w:rPr>
              <w:fldChar w:fldCharType="separate"/>
            </w:r>
            <w:r>
              <w:rPr>
                <w:rStyle w:val="7"/>
                <w:rFonts w:hint="eastAsia" w:ascii="宋体" w:hAnsi="宋体" w:cs="宋体"/>
                <w:color w:val="auto"/>
                <w:sz w:val="18"/>
                <w:szCs w:val="18"/>
                <w:u w:val="none"/>
              </w:rPr>
              <w:t>1152130657@qq.com</w:t>
            </w:r>
            <w:r>
              <w:rPr>
                <w:rFonts w:ascii="宋体" w:hAnsi="宋体" w:cs="宋体"/>
                <w:color w:val="auto"/>
                <w:sz w:val="18"/>
                <w:szCs w:val="18"/>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3"/>
            <w:vAlign w:val="center"/>
          </w:tcPr>
          <w:p>
            <w:pPr>
              <w:rPr>
                <w:sz w:val="20"/>
              </w:rPr>
            </w:pPr>
            <w:bookmarkStart w:id="6" w:name="合同编号"/>
            <w:r>
              <w:rPr>
                <w:sz w:val="20"/>
              </w:rPr>
              <w:t>0147-2018-EO-2020</w:t>
            </w:r>
            <w:bookmarkEnd w:id="6"/>
          </w:p>
        </w:tc>
        <w:tc>
          <w:tcPr>
            <w:tcW w:w="1701" w:type="dxa"/>
            <w:gridSpan w:val="3"/>
            <w:vAlign w:val="center"/>
          </w:tcPr>
          <w:p>
            <w:pPr>
              <w:rPr>
                <w:sz w:val="20"/>
              </w:rPr>
            </w:pPr>
            <w:r>
              <w:rPr>
                <w:rFonts w:hint="eastAsia"/>
                <w:b/>
                <w:sz w:val="20"/>
              </w:rPr>
              <w:t>审核领域</w:t>
            </w:r>
          </w:p>
        </w:tc>
        <w:tc>
          <w:tcPr>
            <w:tcW w:w="4584" w:type="dxa"/>
            <w:gridSpan w:val="8"/>
            <w:vAlign w:val="center"/>
          </w:tcPr>
          <w:p>
            <w:r>
              <w:rPr>
                <w:rFonts w:hint="eastAsia"/>
                <w:sz w:val="20"/>
              </w:rPr>
              <w:t>□</w:t>
            </w:r>
            <w:r>
              <w:rPr>
                <w:spacing w:val="-2"/>
                <w:sz w:val="20"/>
              </w:rPr>
              <w:t>QMS</w:t>
            </w:r>
            <w:r>
              <w:rPr>
                <w:rFonts w:hint="eastAsia"/>
                <w:sz w:val="20"/>
              </w:rPr>
              <w:t>□5</w:t>
            </w:r>
            <w:r>
              <w:rPr>
                <w:sz w:val="20"/>
              </w:rPr>
              <w:t>0430</w:t>
            </w:r>
            <w:r>
              <w:rPr>
                <w:rFonts w:hint="eastAsia"/>
                <w:sz w:val="20"/>
                <w:lang w:eastAsia="zh-CN"/>
              </w:rPr>
              <w:t>☑</w:t>
            </w:r>
            <w:r>
              <w:rPr>
                <w:spacing w:val="-2"/>
                <w:sz w:val="20"/>
              </w:rPr>
              <w:t>EMS</w:t>
            </w:r>
            <w:r>
              <w:rPr>
                <w:rFonts w:hint="eastAsia"/>
                <w:sz w:val="20"/>
                <w:lang w:eastAsia="zh-CN"/>
              </w:rPr>
              <w:t>☑</w:t>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4"/>
            <w:vAlign w:val="center"/>
          </w:tcPr>
          <w:p>
            <w:pPr>
              <w:rPr>
                <w:sz w:val="20"/>
              </w:rPr>
            </w:pPr>
            <w:bookmarkStart w:id="7" w:name="审核类型"/>
            <w:r>
              <w:rPr>
                <w:rFonts w:hint="eastAsia" w:ascii="宋体" w:hAnsi="宋体"/>
                <w:b/>
                <w:bCs/>
                <w:sz w:val="20"/>
              </w:rPr>
              <w:t>O:监查2,E:监查2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4"/>
          </w:tcPr>
          <w:p>
            <w:pPr>
              <w:tabs>
                <w:tab w:val="center" w:pos="4153"/>
                <w:tab w:val="right" w:pos="8306"/>
              </w:tabs>
              <w:snapToGrid w:val="0"/>
              <w:ind w:left="-108"/>
              <w:rPr>
                <w:rFonts w:ascii="宋体" w:hAnsi="宋体"/>
                <w:b/>
                <w:bCs/>
                <w:sz w:val="20"/>
              </w:rPr>
            </w:pPr>
            <w:bookmarkStart w:id="8" w:name="审核目的"/>
            <w:r>
              <w:rPr>
                <w:rFonts w:hint="eastAsia" w:ascii="宋体" w:hAnsi="宋体"/>
                <w:b/>
                <w:bCs/>
                <w:sz w:val="20"/>
              </w:rPr>
              <w:t>□认证注册：__________</w:t>
            </w:r>
          </w:p>
          <w:p>
            <w:pPr>
              <w:tabs>
                <w:tab w:val="center" w:pos="4153"/>
                <w:tab w:val="right" w:pos="8306"/>
              </w:tabs>
              <w:snapToGrid w:val="0"/>
              <w:ind w:left="-108"/>
              <w:rPr>
                <w:rFonts w:hint="eastAsia" w:ascii="宋体" w:hAnsi="宋体" w:eastAsia="宋体"/>
                <w:b/>
                <w:bCs/>
                <w:sz w:val="20"/>
                <w:lang w:eastAsia="zh-CN"/>
              </w:rPr>
            </w:pPr>
            <w:r>
              <w:rPr>
                <w:rFonts w:hint="eastAsia" w:ascii="宋体" w:hAnsi="宋体"/>
                <w:b/>
                <w:bCs/>
                <w:sz w:val="20"/>
                <w:lang w:eastAsia="zh-CN"/>
              </w:rPr>
              <w:t>☑</w:t>
            </w:r>
            <w:r>
              <w:rPr>
                <w:rFonts w:hint="eastAsia" w:ascii="宋体" w:hAnsi="宋体"/>
                <w:b/>
                <w:bCs/>
                <w:sz w:val="20"/>
              </w:rPr>
              <w:t>保持认证注册资格：验证组织管理体系是否持续有效运行，以确定是否推荐保持认证注册资格</w:t>
            </w:r>
            <w:r>
              <w:rPr>
                <w:rFonts w:hint="eastAsia" w:ascii="宋体" w:hAnsi="宋体"/>
                <w:b/>
                <w:bCs/>
                <w:sz w:val="20"/>
                <w:lang w:eastAsia="zh-CN"/>
              </w:rPr>
              <w:t>。</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8"/>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9" w:name="审核范围"/>
            <w:r>
              <w:rPr>
                <w:sz w:val="20"/>
              </w:rPr>
              <w:t>O：环形混凝土电杆的加工及其所涉及场所的相关职业健康安全管理活动</w:t>
            </w:r>
          </w:p>
          <w:p>
            <w:pPr>
              <w:rPr>
                <w:sz w:val="20"/>
              </w:rPr>
            </w:pPr>
            <w:r>
              <w:rPr>
                <w:sz w:val="20"/>
              </w:rPr>
              <w:t>E：环形混凝土电杆的加工及其所涉及场所的相关环境管理活动</w:t>
            </w:r>
            <w:bookmarkEnd w:id="9"/>
          </w:p>
        </w:tc>
        <w:tc>
          <w:tcPr>
            <w:tcW w:w="951"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0" w:name="专业代码"/>
            <w:r>
              <w:rPr>
                <w:sz w:val="20"/>
              </w:rPr>
              <w:t>O：16.02.01</w:t>
            </w:r>
          </w:p>
          <w:p>
            <w:pPr>
              <w:rPr>
                <w:sz w:val="20"/>
              </w:rPr>
            </w:pPr>
            <w:r>
              <w:rPr>
                <w:sz w:val="20"/>
              </w:rPr>
              <w:t>E：16.02.01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4"/>
            <w:vAlign w:val="center"/>
          </w:tcPr>
          <w:p>
            <w:pPr>
              <w:tabs>
                <w:tab w:val="center" w:pos="4153"/>
                <w:tab w:val="right" w:pos="8306"/>
              </w:tabs>
              <w:snapToGrid w:val="0"/>
              <w:spacing w:line="276" w:lineRule="auto"/>
              <w:rPr>
                <w:b/>
                <w:sz w:val="20"/>
                <w:lang w:val="de-DE"/>
              </w:rPr>
            </w:pPr>
            <w:bookmarkStart w:id="11" w:name="Q勾选15"/>
            <w:r>
              <w:rPr>
                <w:rFonts w:hint="eastAsia"/>
                <w:b/>
                <w:sz w:val="20"/>
                <w:lang w:val="de-DE"/>
              </w:rPr>
              <w:t>□</w:t>
            </w:r>
            <w:bookmarkEnd w:id="11"/>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bookmarkStart w:id="12" w:name="QJ勾选"/>
            <w:r>
              <w:rPr>
                <w:rFonts w:hint="eastAsia"/>
                <w:b/>
                <w:sz w:val="20"/>
                <w:lang w:val="de-DE"/>
              </w:rPr>
              <w:t>□</w:t>
            </w:r>
            <w:bookmarkEnd w:id="12"/>
            <w:r>
              <w:rPr>
                <w:rFonts w:hint="eastAsia"/>
                <w:b/>
                <w:sz w:val="20"/>
                <w:lang w:val="de-DE"/>
              </w:rPr>
              <w:t xml:space="preserve"> GB/T 50430-2017标准   不适用条款: </w:t>
            </w:r>
          </w:p>
          <w:p>
            <w:pPr>
              <w:tabs>
                <w:tab w:val="center" w:pos="4153"/>
                <w:tab w:val="right" w:pos="8306"/>
              </w:tabs>
              <w:snapToGrid w:val="0"/>
              <w:spacing w:line="276" w:lineRule="auto"/>
              <w:rPr>
                <w:b/>
                <w:sz w:val="20"/>
                <w:lang w:val="de-DE"/>
              </w:rPr>
            </w:pPr>
            <w:bookmarkStart w:id="13" w:name="E勾选"/>
            <w:r>
              <w:rPr>
                <w:rFonts w:hint="eastAsia"/>
                <w:b/>
                <w:sz w:val="20"/>
                <w:lang w:val="de-DE"/>
              </w:rPr>
              <w:t>■</w:t>
            </w:r>
            <w:bookmarkEnd w:id="13"/>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bookmarkStart w:id="14" w:name="S勾选"/>
            <w:r>
              <w:rPr>
                <w:rFonts w:hint="eastAsia"/>
                <w:b/>
                <w:sz w:val="20"/>
                <w:lang w:val="de-DE"/>
              </w:rPr>
              <w:t>■</w:t>
            </w:r>
            <w:bookmarkEnd w:id="14"/>
            <w:r>
              <w:rPr>
                <w:rFonts w:hint="eastAsia"/>
                <w:b/>
                <w:sz w:val="20"/>
                <w:lang w:val="de-DE"/>
              </w:rPr>
              <w:t xml:space="preserve"> GB/T 28001-2011 idt OHSMS 18001:2007标准</w:t>
            </w:r>
          </w:p>
          <w:p>
            <w:pPr>
              <w:tabs>
                <w:tab w:val="center" w:pos="4153"/>
                <w:tab w:val="right" w:pos="8306"/>
              </w:tabs>
              <w:snapToGrid w:val="0"/>
              <w:spacing w:line="276" w:lineRule="auto"/>
              <w:rPr>
                <w:b/>
                <w:sz w:val="20"/>
                <w:lang w:val="de-DE"/>
              </w:rPr>
            </w:pPr>
            <w:bookmarkStart w:id="15" w:name="S勾选Add"/>
            <w:r>
              <w:rPr>
                <w:rFonts w:hint="eastAsia"/>
                <w:b/>
                <w:sz w:val="20"/>
                <w:lang w:val="de-DE"/>
              </w:rPr>
              <w:t>■</w:t>
            </w:r>
            <w:bookmarkEnd w:id="15"/>
            <w:r>
              <w:rPr>
                <w:rFonts w:hint="eastAsia"/>
                <w:b/>
                <w:sz w:val="20"/>
                <w:lang w:val="de-DE"/>
              </w:rPr>
              <w:t xml:space="preserve"> 受审核方管理体系文件 </w:t>
            </w:r>
            <w:r>
              <w:rPr>
                <w:rFonts w:hint="eastAsia"/>
                <w:b/>
                <w:sz w:val="20"/>
                <w:lang w:val="de-DE" w:eastAsia="zh-CN"/>
              </w:rPr>
              <w:t>、</w:t>
            </w:r>
            <w:r>
              <w:rPr>
                <w:rFonts w:hint="eastAsia"/>
                <w:b/>
                <w:sz w:val="20"/>
                <w:lang w:val="de-DE"/>
              </w:rPr>
              <w:t>适用的法律法规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sz w:val="20"/>
              </w:rPr>
            </w:pPr>
            <w:r>
              <w:rPr>
                <w:rFonts w:hint="eastAsia"/>
                <w:sz w:val="20"/>
              </w:rPr>
              <w:t>审核日期</w:t>
            </w:r>
          </w:p>
        </w:tc>
        <w:tc>
          <w:tcPr>
            <w:tcW w:w="8836" w:type="dxa"/>
            <w:gridSpan w:val="14"/>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开始日"/>
            <w:r>
              <w:rPr>
                <w:rFonts w:hint="eastAsia"/>
                <w:b/>
                <w:sz w:val="20"/>
              </w:rPr>
              <w:t>2020年10月18日 上午</w:t>
            </w:r>
            <w:bookmarkEnd w:id="16"/>
            <w:r>
              <w:rPr>
                <w:rFonts w:hint="eastAsia"/>
                <w:b/>
                <w:sz w:val="20"/>
              </w:rPr>
              <w:t>至</w:t>
            </w:r>
            <w:bookmarkStart w:id="17" w:name="审核结束日"/>
            <w:r>
              <w:rPr>
                <w:rFonts w:hint="eastAsia"/>
                <w:b/>
                <w:sz w:val="20"/>
              </w:rPr>
              <w:t>2020年10月19日 下午</w:t>
            </w:r>
            <w:bookmarkEnd w:id="17"/>
            <w:r>
              <w:rPr>
                <w:rFonts w:hint="eastAsia"/>
                <w:b/>
                <w:sz w:val="20"/>
              </w:rPr>
              <w:t xml:space="preserve">，共 </w:t>
            </w:r>
            <w:bookmarkStart w:id="18" w:name="审核天数"/>
            <w:r>
              <w:rPr>
                <w:rFonts w:hint="eastAsia"/>
                <w:b/>
                <w:sz w:val="20"/>
              </w:rPr>
              <w:t>2.0</w:t>
            </w:r>
            <w:bookmarkEnd w:id="18"/>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85" w:type="dxa"/>
            <w:gridSpan w:val="3"/>
            <w:vAlign w:val="center"/>
          </w:tcPr>
          <w:p>
            <w:pPr>
              <w:rPr>
                <w:sz w:val="20"/>
              </w:rPr>
            </w:pPr>
            <w:r>
              <w:rPr>
                <w:rFonts w:hint="eastAsia"/>
                <w:sz w:val="20"/>
              </w:rPr>
              <w:t>审核语言</w:t>
            </w:r>
          </w:p>
        </w:tc>
        <w:tc>
          <w:tcPr>
            <w:tcW w:w="8836" w:type="dxa"/>
            <w:gridSpan w:val="14"/>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7"/>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vAlign w:val="center"/>
          </w:tcPr>
          <w:p>
            <w:pPr>
              <w:jc w:val="center"/>
              <w:rPr>
                <w:sz w:val="20"/>
              </w:rPr>
            </w:pPr>
            <w:r>
              <w:rPr>
                <w:rFonts w:hint="eastAsia"/>
                <w:sz w:val="20"/>
              </w:rPr>
              <w:t>注册级别</w:t>
            </w:r>
          </w:p>
        </w:tc>
        <w:tc>
          <w:tcPr>
            <w:tcW w:w="3402" w:type="dxa"/>
            <w:gridSpan w:val="5"/>
            <w:vAlign w:val="center"/>
          </w:tcPr>
          <w:p>
            <w:pPr>
              <w:jc w:val="center"/>
              <w:rPr>
                <w:sz w:val="20"/>
              </w:rPr>
            </w:pPr>
            <w:r>
              <w:rPr>
                <w:rFonts w:hint="eastAsia"/>
                <w:sz w:val="20"/>
              </w:rPr>
              <w:t>注册编号</w:t>
            </w:r>
          </w:p>
        </w:tc>
        <w:tc>
          <w:tcPr>
            <w:tcW w:w="1559" w:type="dxa"/>
            <w:gridSpan w:val="5"/>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吉洁</w:t>
            </w:r>
          </w:p>
        </w:tc>
        <w:tc>
          <w:tcPr>
            <w:tcW w:w="780" w:type="dxa"/>
            <w:gridSpan w:val="2"/>
            <w:vAlign w:val="center"/>
          </w:tcPr>
          <w:p>
            <w:pPr>
              <w:jc w:val="center"/>
              <w:rPr>
                <w:sz w:val="20"/>
              </w:rPr>
            </w:pPr>
            <w:r>
              <w:rPr>
                <w:sz w:val="20"/>
              </w:rPr>
              <w:t>女</w:t>
            </w:r>
          </w:p>
        </w:tc>
        <w:tc>
          <w:tcPr>
            <w:tcW w:w="720" w:type="dxa"/>
            <w:vAlign w:val="center"/>
          </w:tcPr>
          <w:p>
            <w:pPr>
              <w:jc w:val="center"/>
              <w:rPr>
                <w:sz w:val="20"/>
              </w:rPr>
            </w:pPr>
            <w:r>
              <w:rPr>
                <w:sz w:val="20"/>
              </w:rPr>
              <w:t>组长</w:t>
            </w:r>
          </w:p>
        </w:tc>
        <w:tc>
          <w:tcPr>
            <w:tcW w:w="1141" w:type="dxa"/>
            <w:vAlign w:val="center"/>
          </w:tcPr>
          <w:p>
            <w:pPr>
              <w:jc w:val="center"/>
              <w:rPr>
                <w:sz w:val="20"/>
              </w:rPr>
            </w:pPr>
            <w:r>
              <w:rPr>
                <w:sz w:val="20"/>
              </w:rPr>
              <w:t>O:审核员</w:t>
            </w:r>
          </w:p>
          <w:p>
            <w:pPr>
              <w:jc w:val="center"/>
              <w:rPr>
                <w:sz w:val="20"/>
              </w:rPr>
            </w:pPr>
            <w:r>
              <w:rPr>
                <w:sz w:val="20"/>
              </w:rPr>
              <w:t>E:审核员</w:t>
            </w:r>
          </w:p>
        </w:tc>
        <w:tc>
          <w:tcPr>
            <w:tcW w:w="3402" w:type="dxa"/>
            <w:gridSpan w:val="5"/>
            <w:vAlign w:val="center"/>
          </w:tcPr>
          <w:p>
            <w:pPr>
              <w:jc w:val="center"/>
              <w:rPr>
                <w:sz w:val="20"/>
              </w:rPr>
            </w:pPr>
            <w:r>
              <w:rPr>
                <w:sz w:val="20"/>
              </w:rPr>
              <w:t>2020-N1OHSMS-3022240</w:t>
            </w:r>
          </w:p>
          <w:p>
            <w:pPr>
              <w:jc w:val="center"/>
              <w:rPr>
                <w:sz w:val="20"/>
              </w:rPr>
            </w:pPr>
            <w:r>
              <w:rPr>
                <w:sz w:val="20"/>
              </w:rPr>
              <w:t>2020-N1EMS-3022240</w:t>
            </w:r>
          </w:p>
        </w:tc>
        <w:tc>
          <w:tcPr>
            <w:tcW w:w="1559" w:type="dxa"/>
            <w:gridSpan w:val="5"/>
            <w:vAlign w:val="center"/>
          </w:tcPr>
          <w:p>
            <w:pPr>
              <w:jc w:val="center"/>
              <w:rPr>
                <w:sz w:val="20"/>
              </w:rPr>
            </w:pPr>
            <w:r>
              <w:rPr>
                <w:sz w:val="20"/>
              </w:rPr>
              <w:t>E:16.02.01</w:t>
            </w:r>
          </w:p>
        </w:tc>
        <w:tc>
          <w:tcPr>
            <w:tcW w:w="1324" w:type="dxa"/>
            <w:vAlign w:val="center"/>
          </w:tcPr>
          <w:p>
            <w:pPr>
              <w:jc w:val="center"/>
              <w:rPr>
                <w:sz w:val="20"/>
              </w:rPr>
            </w:pPr>
            <w:r>
              <w:rPr>
                <w:sz w:val="20"/>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r>
              <w:rPr>
                <w:rFonts w:hint="eastAsia" w:eastAsia="宋体"/>
                <w:sz w:val="20"/>
                <w:lang w:eastAsia="zh-CN"/>
              </w:rPr>
              <w:drawing>
                <wp:anchor distT="0" distB="0" distL="114300" distR="114300" simplePos="0" relativeHeight="251658240" behindDoc="0" locked="0" layoutInCell="1" allowOverlap="1">
                  <wp:simplePos x="0" y="0"/>
                  <wp:positionH relativeFrom="column">
                    <wp:posOffset>906780</wp:posOffset>
                  </wp:positionH>
                  <wp:positionV relativeFrom="paragraph">
                    <wp:posOffset>507365</wp:posOffset>
                  </wp:positionV>
                  <wp:extent cx="1046480" cy="50419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046480" cy="504190"/>
                          </a:xfrm>
                          <a:prstGeom prst="rect">
                            <a:avLst/>
                          </a:prstGeom>
                        </pic:spPr>
                      </pic:pic>
                    </a:graphicData>
                  </a:graphic>
                </wp:anchor>
              </w:drawing>
            </w: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201" w:type="dxa"/>
            <w:vAlign w:val="center"/>
          </w:tcPr>
          <w:p>
            <w:pPr>
              <w:rPr>
                <w:sz w:val="20"/>
              </w:rPr>
            </w:pPr>
            <w:r>
              <w:rPr>
                <w:rFonts w:hint="eastAsia"/>
                <w:sz w:val="20"/>
              </w:rPr>
              <w:t>审核组长</w:t>
            </w:r>
          </w:p>
        </w:tc>
        <w:tc>
          <w:tcPr>
            <w:tcW w:w="2977" w:type="dxa"/>
            <w:gridSpan w:val="6"/>
            <w:vAlign w:val="center"/>
          </w:tcPr>
          <w:p>
            <w:pPr>
              <w:rPr>
                <w:rFonts w:hint="eastAsia" w:eastAsia="宋体"/>
                <w:sz w:val="20"/>
                <w:lang w:eastAsia="zh-CN"/>
              </w:rPr>
            </w:pP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01" w:type="dxa"/>
            <w:vAlign w:val="center"/>
          </w:tcPr>
          <w:p>
            <w:pPr>
              <w:rPr>
                <w:sz w:val="20"/>
              </w:rPr>
            </w:pPr>
            <w:r>
              <w:rPr>
                <w:rFonts w:hint="eastAsia"/>
                <w:sz w:val="20"/>
              </w:rPr>
              <w:t>联系电话</w:t>
            </w:r>
          </w:p>
        </w:tc>
        <w:tc>
          <w:tcPr>
            <w:tcW w:w="2977" w:type="dxa"/>
            <w:gridSpan w:val="6"/>
            <w:vAlign w:val="center"/>
          </w:tcPr>
          <w:p>
            <w:pPr>
              <w:rPr>
                <w:rFonts w:hint="default" w:eastAsia="宋体"/>
                <w:sz w:val="20"/>
                <w:lang w:val="en-US" w:eastAsia="zh-CN"/>
              </w:rPr>
            </w:pPr>
            <w:r>
              <w:rPr>
                <w:rFonts w:hint="eastAsia"/>
                <w:sz w:val="20"/>
                <w:lang w:val="en-US" w:eastAsia="zh-CN"/>
              </w:rPr>
              <w:t>18633812642</w:t>
            </w:r>
          </w:p>
        </w:tc>
        <w:tc>
          <w:tcPr>
            <w:tcW w:w="2126" w:type="dxa"/>
            <w:gridSpan w:val="3"/>
            <w:vMerge w:val="continue"/>
            <w:vAlign w:val="center"/>
          </w:tcPr>
          <w:p>
            <w:pPr>
              <w:rPr>
                <w:sz w:val="20"/>
              </w:rPr>
            </w:pPr>
          </w:p>
        </w:tc>
        <w:tc>
          <w:tcPr>
            <w:tcW w:w="4017" w:type="dxa"/>
            <w:gridSpan w:val="7"/>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01" w:type="dxa"/>
            <w:vAlign w:val="center"/>
          </w:tcPr>
          <w:p>
            <w:pPr>
              <w:rPr>
                <w:sz w:val="20"/>
              </w:rPr>
            </w:pPr>
            <w:r>
              <w:rPr>
                <w:rFonts w:hint="eastAsia"/>
                <w:sz w:val="20"/>
              </w:rPr>
              <w:t>日期</w:t>
            </w:r>
          </w:p>
        </w:tc>
        <w:tc>
          <w:tcPr>
            <w:tcW w:w="2977" w:type="dxa"/>
            <w:gridSpan w:val="6"/>
            <w:vAlign w:val="center"/>
          </w:tcPr>
          <w:p>
            <w:pPr>
              <w:rPr>
                <w:rFonts w:hint="default" w:eastAsia="宋体"/>
                <w:sz w:val="20"/>
                <w:lang w:val="en-US" w:eastAsia="zh-CN"/>
              </w:rPr>
            </w:pPr>
            <w:r>
              <w:rPr>
                <w:rFonts w:hint="eastAsia"/>
                <w:sz w:val="20"/>
                <w:lang w:val="en-US" w:eastAsia="zh-CN"/>
              </w:rPr>
              <w:t>2020.10.17</w:t>
            </w:r>
          </w:p>
        </w:tc>
        <w:tc>
          <w:tcPr>
            <w:tcW w:w="2126" w:type="dxa"/>
            <w:gridSpan w:val="3"/>
            <w:vAlign w:val="center"/>
          </w:tcPr>
          <w:p>
            <w:pPr>
              <w:rPr>
                <w:sz w:val="20"/>
              </w:rPr>
            </w:pPr>
            <w:r>
              <w:rPr>
                <w:rFonts w:hint="eastAsia"/>
                <w:sz w:val="20"/>
              </w:rPr>
              <w:t>日期</w:t>
            </w:r>
          </w:p>
        </w:tc>
        <w:tc>
          <w:tcPr>
            <w:tcW w:w="4017" w:type="dxa"/>
            <w:gridSpan w:val="7"/>
            <w:vAlign w:val="center"/>
          </w:tcPr>
          <w:p>
            <w:pPr>
              <w:rPr>
                <w:rFonts w:hint="default" w:eastAsia="宋体"/>
                <w:lang w:val="en-US" w:eastAsia="zh-CN"/>
              </w:rPr>
            </w:pPr>
            <w:r>
              <w:rPr>
                <w:rFonts w:hint="eastAsia"/>
                <w:lang w:val="en-US" w:eastAsia="zh-CN"/>
              </w:rPr>
              <w:t>2020.10.17</w:t>
            </w:r>
          </w:p>
        </w:tc>
      </w:tr>
    </w:tbl>
    <w:p>
      <w:pPr>
        <w:pStyle w:val="10"/>
        <w:numPr>
          <w:ilvl w:val="0"/>
          <w:numId w:val="0"/>
        </w:numPr>
        <w:spacing w:line="300" w:lineRule="exact"/>
        <w:ind w:left="360" w:leftChars="0"/>
        <w:rPr>
          <w:rFonts w:ascii="宋体" w:hAnsi="宋体"/>
          <w:b/>
          <w:sz w:val="18"/>
          <w:szCs w:val="18"/>
        </w:rPr>
      </w:pPr>
    </w:p>
    <w:p>
      <w:pPr>
        <w:pStyle w:val="10"/>
        <w:numPr>
          <w:ilvl w:val="0"/>
          <w:numId w:val="0"/>
        </w:numPr>
        <w:spacing w:line="300" w:lineRule="exact"/>
        <w:ind w:left="360" w:leftChars="0"/>
        <w:rPr>
          <w:rFonts w:ascii="宋体" w:hAnsi="宋体"/>
          <w:b/>
          <w:sz w:val="18"/>
          <w:szCs w:val="18"/>
        </w:rPr>
      </w:pPr>
    </w:p>
    <w:p>
      <w:pPr>
        <w:pStyle w:val="10"/>
        <w:numPr>
          <w:ilvl w:val="0"/>
          <w:numId w:val="0"/>
        </w:numPr>
        <w:spacing w:line="300" w:lineRule="exact"/>
        <w:ind w:left="360" w:leftChars="0"/>
        <w:rPr>
          <w:rFonts w:ascii="宋体" w:hAnsi="宋体"/>
          <w:b/>
          <w:sz w:val="18"/>
          <w:szCs w:val="18"/>
        </w:rPr>
      </w:pPr>
    </w:p>
    <w:p>
      <w:pPr>
        <w:pStyle w:val="10"/>
        <w:numPr>
          <w:ilvl w:val="0"/>
          <w:numId w:val="0"/>
        </w:numPr>
        <w:spacing w:line="300" w:lineRule="exact"/>
        <w:ind w:left="360" w:leftChars="0"/>
        <w:rPr>
          <w:rFonts w:ascii="宋体" w:hAnsi="宋体"/>
          <w:b/>
          <w:sz w:val="18"/>
          <w:szCs w:val="18"/>
        </w:rPr>
      </w:pPr>
    </w:p>
    <w:p>
      <w:pPr>
        <w:pStyle w:val="10"/>
        <w:numPr>
          <w:ilvl w:val="0"/>
          <w:numId w:val="0"/>
        </w:numPr>
        <w:spacing w:line="300" w:lineRule="exact"/>
        <w:ind w:left="360" w:leftChars="0"/>
        <w:rPr>
          <w:rFonts w:ascii="宋体" w:hAnsi="宋体"/>
          <w:b/>
          <w:sz w:val="18"/>
          <w:szCs w:val="18"/>
        </w:rPr>
      </w:pPr>
    </w:p>
    <w:p>
      <w:pPr>
        <w:pStyle w:val="10"/>
        <w:numPr>
          <w:ilvl w:val="0"/>
          <w:numId w:val="0"/>
        </w:numPr>
        <w:spacing w:line="300" w:lineRule="exact"/>
        <w:ind w:left="360" w:leftChars="0"/>
        <w:rPr>
          <w:rFonts w:ascii="宋体" w:hAnsi="宋体"/>
          <w:b/>
          <w:sz w:val="18"/>
          <w:szCs w:val="18"/>
        </w:rPr>
      </w:pPr>
    </w:p>
    <w:tbl>
      <w:tblPr>
        <w:tblStyle w:val="5"/>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282"/>
        <w:gridCol w:w="6354"/>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139"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日期</w:t>
            </w:r>
          </w:p>
        </w:tc>
        <w:tc>
          <w:tcPr>
            <w:tcW w:w="1282" w:type="dxa"/>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时间</w:t>
            </w:r>
          </w:p>
        </w:tc>
        <w:tc>
          <w:tcPr>
            <w:tcW w:w="6354" w:type="dxa"/>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受审核部门、场所及审核内容</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11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2020.</w:t>
            </w:r>
            <w:r>
              <w:rPr>
                <w:rFonts w:hint="eastAsia" w:ascii="Times New Roman" w:hAnsi="Times New Roman" w:cs="Times New Roman"/>
                <w:b w:val="0"/>
                <w:bCs/>
                <w:sz w:val="21"/>
                <w:szCs w:val="21"/>
                <w:lang w:val="en-US" w:eastAsia="zh-CN"/>
              </w:rPr>
              <w:t>10.18</w:t>
            </w:r>
          </w:p>
        </w:tc>
        <w:tc>
          <w:tcPr>
            <w:tcW w:w="12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:30</w:t>
            </w:r>
          </w:p>
        </w:tc>
        <w:tc>
          <w:tcPr>
            <w:tcW w:w="6354"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首次会议（管理层）</w:t>
            </w:r>
          </w:p>
        </w:tc>
        <w:tc>
          <w:tcPr>
            <w:tcW w:w="1324" w:type="dxa"/>
            <w:tcBorders>
              <w:right w:val="single" w:color="auto" w:sz="8" w:space="0"/>
            </w:tcBorders>
            <w:vAlign w:val="center"/>
          </w:tcPr>
          <w:p>
            <w:pPr>
              <w:snapToGrid w:val="0"/>
              <w:spacing w:line="280" w:lineRule="exact"/>
              <w:jc w:val="left"/>
              <w:rPr>
                <w:rFonts w:hint="default"/>
                <w:b w:val="0"/>
                <w:bCs w:val="0"/>
                <w:sz w:val="21"/>
                <w:szCs w:val="21"/>
                <w:lang w:val="en-US" w:eastAsia="zh-CN"/>
              </w:rPr>
            </w:pPr>
            <w:r>
              <w:rPr>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rPr>
            </w:pPr>
          </w:p>
        </w:tc>
        <w:tc>
          <w:tcPr>
            <w:tcW w:w="12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rPr>
                <w:rFonts w:hint="default" w:ascii="Times New Roman" w:hAnsi="Times New Roman" w:cs="Times New Roman"/>
                <w:sz w:val="21"/>
                <w:szCs w:val="21"/>
                <w:lang w:val="en-US" w:eastAsia="zh-CN"/>
              </w:rPr>
            </w:pPr>
            <w:r>
              <w:rPr>
                <w:rFonts w:hint="eastAsia"/>
                <w:sz w:val="21"/>
                <w:szCs w:val="21"/>
                <w:lang w:eastAsia="zh-CN"/>
              </w:rPr>
              <w:t>管理层：</w:t>
            </w:r>
            <w:r>
              <w:rPr>
                <w:rFonts w:hint="eastAsia" w:ascii="Times New Roman" w:hAnsi="Times New Roman" w:cs="Times New Roman"/>
                <w:sz w:val="21"/>
                <w:szCs w:val="21"/>
                <w:lang w:eastAsia="zh-CN"/>
              </w:rPr>
              <w:t>企业</w:t>
            </w:r>
            <w:r>
              <w:rPr>
                <w:rFonts w:hint="eastAsia" w:ascii="Times New Roman" w:hAnsi="Times New Roman" w:cs="Times New Roman"/>
                <w:sz w:val="21"/>
                <w:szCs w:val="21"/>
              </w:rPr>
              <w:t>基本情况</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资质</w:t>
            </w:r>
            <w:r>
              <w:rPr>
                <w:rFonts w:hint="eastAsia" w:ascii="Times New Roman" w:hAnsi="Times New Roman" w:cs="Times New Roman"/>
                <w:sz w:val="21"/>
                <w:szCs w:val="21"/>
                <w:lang w:eastAsia="zh-CN"/>
              </w:rPr>
              <w:t>查验；</w:t>
            </w:r>
            <w:r>
              <w:rPr>
                <w:rFonts w:hint="eastAsia" w:ascii="Times New Roman" w:hAnsi="Times New Roman" w:cs="Times New Roman"/>
                <w:sz w:val="21"/>
                <w:szCs w:val="21"/>
              </w:rPr>
              <w:t>认证范围</w:t>
            </w:r>
            <w:r>
              <w:rPr>
                <w:rFonts w:hint="eastAsia" w:ascii="Times New Roman" w:hAnsi="Times New Roman" w:cs="Times New Roman"/>
                <w:sz w:val="21"/>
                <w:szCs w:val="21"/>
                <w:lang w:eastAsia="zh-CN"/>
              </w:rPr>
              <w:t>；体系</w:t>
            </w:r>
            <w:r>
              <w:rPr>
                <w:rFonts w:hint="eastAsia" w:ascii="Times New Roman" w:hAnsi="Times New Roman" w:cs="Times New Roman"/>
                <w:sz w:val="21"/>
                <w:szCs w:val="21"/>
              </w:rPr>
              <w:t>策划；</w:t>
            </w:r>
            <w:r>
              <w:rPr>
                <w:rFonts w:hint="eastAsia" w:ascii="Times New Roman" w:hAnsi="Times New Roman" w:cs="Times New Roman"/>
                <w:sz w:val="21"/>
                <w:szCs w:val="21"/>
                <w:lang w:eastAsia="zh-CN"/>
              </w:rPr>
              <w:t>总要求；</w:t>
            </w:r>
            <w:r>
              <w:rPr>
                <w:rFonts w:hint="eastAsia" w:ascii="Times New Roman" w:hAnsi="Times New Roman" w:cs="Times New Roman"/>
                <w:sz w:val="21"/>
                <w:szCs w:val="21"/>
              </w:rPr>
              <w:t>组织及其环境</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相关方的需求和希望</w:t>
            </w:r>
            <w:r>
              <w:rPr>
                <w:rFonts w:hint="eastAsia" w:ascii="Times New Roman" w:hAnsi="Times New Roman" w:cs="Times New Roman"/>
                <w:sz w:val="21"/>
                <w:szCs w:val="21"/>
                <w:lang w:eastAsia="zh-CN"/>
              </w:rPr>
              <w:t>；领导作用和承诺；</w:t>
            </w:r>
            <w:r>
              <w:rPr>
                <w:rFonts w:hint="eastAsia" w:ascii="Times New Roman" w:hAnsi="Times New Roman" w:cs="Times New Roman"/>
                <w:sz w:val="21"/>
                <w:szCs w:val="21"/>
              </w:rPr>
              <w:t>方针</w:t>
            </w:r>
            <w:r>
              <w:rPr>
                <w:rFonts w:hint="eastAsia" w:ascii="Times New Roman" w:hAnsi="Times New Roman" w:cs="Times New Roman"/>
                <w:sz w:val="21"/>
                <w:szCs w:val="21"/>
                <w:lang w:eastAsia="zh-CN"/>
              </w:rPr>
              <w:t>目标；</w:t>
            </w:r>
            <w:r>
              <w:rPr>
                <w:rFonts w:hint="eastAsia" w:ascii="Times New Roman" w:hAnsi="Times New Roman" w:cs="Times New Roman"/>
                <w:sz w:val="21"/>
                <w:szCs w:val="21"/>
              </w:rPr>
              <w:t>组织的岗位、职责</w:t>
            </w:r>
            <w:r>
              <w:rPr>
                <w:rFonts w:hint="eastAsia" w:ascii="Times New Roman" w:hAnsi="Times New Roman" w:cs="Times New Roman"/>
                <w:sz w:val="21"/>
                <w:szCs w:val="21"/>
                <w:lang w:eastAsia="zh-CN"/>
              </w:rPr>
              <w:t>和</w:t>
            </w:r>
            <w:r>
              <w:rPr>
                <w:rFonts w:hint="eastAsia" w:ascii="Times New Roman" w:hAnsi="Times New Roman" w:cs="Times New Roman"/>
                <w:sz w:val="21"/>
                <w:szCs w:val="21"/>
              </w:rPr>
              <w:t>权限</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应对风险和机会的策划</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目标</w:t>
            </w:r>
            <w:r>
              <w:rPr>
                <w:rFonts w:hint="eastAsia" w:ascii="Times New Roman" w:hAnsi="Times New Roman" w:cs="Times New Roman"/>
                <w:sz w:val="21"/>
                <w:szCs w:val="21"/>
                <w:lang w:eastAsia="zh-CN"/>
              </w:rPr>
              <w:t>及其实现的策划；</w:t>
            </w:r>
            <w:r>
              <w:rPr>
                <w:rFonts w:hint="eastAsia" w:ascii="Times New Roman" w:hAnsi="Times New Roman" w:cs="Times New Roman"/>
                <w:sz w:val="21"/>
                <w:szCs w:val="21"/>
              </w:rPr>
              <w:t>资源</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监视</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测量</w:t>
            </w:r>
            <w:r>
              <w:rPr>
                <w:rFonts w:hint="eastAsia" w:ascii="Times New Roman" w:hAnsi="Times New Roman" w:cs="Times New Roman"/>
                <w:sz w:val="21"/>
                <w:szCs w:val="21"/>
                <w:lang w:eastAsia="zh-CN"/>
              </w:rPr>
              <w:t>、分析和评价总则；危险源辨识、风险</w:t>
            </w:r>
            <w:r>
              <w:rPr>
                <w:rFonts w:hint="eastAsia" w:ascii="Times New Roman" w:hAnsi="Times New Roman" w:cs="Times New Roman"/>
                <w:sz w:val="21"/>
                <w:szCs w:val="21"/>
              </w:rPr>
              <w:t>评价</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资源作用职责权限</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沟通</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参与</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协商；合规性评价</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管理评审；总则</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持续改进</w:t>
            </w:r>
            <w:r>
              <w:rPr>
                <w:rFonts w:hint="eastAsia" w:ascii="Times New Roman" w:hAnsi="Times New Roman" w:cs="Times New Roman"/>
                <w:sz w:val="21"/>
                <w:szCs w:val="21"/>
                <w:lang w:eastAsia="zh-CN"/>
              </w:rPr>
              <w:t>；职业健康</w:t>
            </w:r>
            <w:r>
              <w:rPr>
                <w:rFonts w:hint="eastAsia" w:ascii="Times New Roman" w:hAnsi="Times New Roman" w:cs="Times New Roman"/>
                <w:sz w:val="21"/>
                <w:szCs w:val="21"/>
                <w:lang w:val="en-US" w:eastAsia="zh-CN"/>
              </w:rPr>
              <w:t>安全</w:t>
            </w:r>
            <w:r>
              <w:rPr>
                <w:rFonts w:hint="eastAsia" w:ascii="Times New Roman" w:hAnsi="Times New Roman" w:cs="Times New Roman"/>
                <w:sz w:val="21"/>
                <w:szCs w:val="21"/>
              </w:rPr>
              <w:t>事故</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相关方投诉</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证书使用情况，上次不符合验证</w:t>
            </w:r>
          </w:p>
          <w:p>
            <w:pPr>
              <w:rPr>
                <w:rFonts w:hint="eastAsia"/>
                <w:sz w:val="21"/>
                <w:szCs w:val="21"/>
                <w:lang w:val="en-US" w:eastAsia="zh-CN"/>
              </w:rPr>
            </w:pPr>
            <w:r>
              <w:rPr>
                <w:rFonts w:hint="eastAsia"/>
                <w:sz w:val="21"/>
                <w:szCs w:val="21"/>
                <w:lang w:val="en-US" w:eastAsia="zh-CN"/>
              </w:rPr>
              <w:t>涉及条款：E</w:t>
            </w:r>
            <w:r>
              <w:rPr>
                <w:rFonts w:hint="eastAsia"/>
                <w:sz w:val="21"/>
                <w:szCs w:val="21"/>
              </w:rPr>
              <w:t>4.1</w:t>
            </w:r>
            <w:r>
              <w:rPr>
                <w:rFonts w:hint="eastAsia"/>
                <w:sz w:val="21"/>
                <w:szCs w:val="21"/>
                <w:lang w:val="en-US" w:eastAsia="zh-CN"/>
              </w:rPr>
              <w:t>/4.2/4.3/4.4/5.1/5.2/5.3/6.1/6.2/7.1/9.1.1/9.3/10.1/10.3</w:t>
            </w:r>
          </w:p>
          <w:p>
            <w:pPr>
              <w:rPr>
                <w:rFonts w:hint="default" w:ascii="Times New Roman" w:hAnsi="Times New Roman" w:eastAsia="宋体" w:cs="Times New Roman"/>
                <w:sz w:val="21"/>
                <w:szCs w:val="21"/>
                <w:lang w:val="en-US" w:eastAsia="zh-CN"/>
              </w:rPr>
            </w:pPr>
            <w:r>
              <w:rPr>
                <w:rFonts w:hint="eastAsia"/>
                <w:sz w:val="21"/>
                <w:szCs w:val="21"/>
                <w:lang w:val="en-US" w:eastAsia="zh-CN"/>
              </w:rPr>
              <w:t>S</w:t>
            </w:r>
            <w:r>
              <w:rPr>
                <w:rFonts w:hint="eastAsia"/>
                <w:sz w:val="21"/>
                <w:szCs w:val="21"/>
              </w:rPr>
              <w:t>4.1</w:t>
            </w:r>
            <w:r>
              <w:rPr>
                <w:rFonts w:hint="eastAsia"/>
                <w:sz w:val="21"/>
                <w:szCs w:val="21"/>
                <w:lang w:val="en-US" w:eastAsia="zh-CN"/>
              </w:rPr>
              <w:t>/</w:t>
            </w:r>
            <w:r>
              <w:rPr>
                <w:rFonts w:hint="eastAsia"/>
                <w:sz w:val="21"/>
                <w:szCs w:val="21"/>
              </w:rPr>
              <w:t>4.2</w:t>
            </w:r>
            <w:r>
              <w:rPr>
                <w:rFonts w:hint="eastAsia"/>
                <w:sz w:val="21"/>
                <w:szCs w:val="21"/>
                <w:lang w:val="en-US" w:eastAsia="zh-CN"/>
              </w:rPr>
              <w:t>/4.3.1/</w:t>
            </w:r>
            <w:r>
              <w:rPr>
                <w:rFonts w:hint="eastAsia"/>
                <w:sz w:val="21"/>
                <w:szCs w:val="21"/>
              </w:rPr>
              <w:t>4.3.3</w:t>
            </w:r>
            <w:r>
              <w:rPr>
                <w:rFonts w:hint="eastAsia"/>
                <w:sz w:val="21"/>
                <w:szCs w:val="21"/>
                <w:lang w:val="en-US" w:eastAsia="zh-CN"/>
              </w:rPr>
              <w:t>/</w:t>
            </w:r>
            <w:r>
              <w:rPr>
                <w:rFonts w:hint="eastAsia"/>
                <w:sz w:val="21"/>
                <w:szCs w:val="21"/>
              </w:rPr>
              <w:t>4.4.1</w:t>
            </w:r>
            <w:r>
              <w:rPr>
                <w:rFonts w:hint="eastAsia"/>
                <w:sz w:val="21"/>
                <w:szCs w:val="21"/>
                <w:lang w:val="en-US" w:eastAsia="zh-CN"/>
              </w:rPr>
              <w:t>/</w:t>
            </w:r>
            <w:r>
              <w:rPr>
                <w:rFonts w:hint="eastAsia"/>
                <w:sz w:val="21"/>
                <w:szCs w:val="21"/>
              </w:rPr>
              <w:t>4.4.3</w:t>
            </w:r>
            <w:r>
              <w:rPr>
                <w:rFonts w:hint="eastAsia"/>
                <w:sz w:val="21"/>
                <w:szCs w:val="21"/>
                <w:lang w:val="en-US" w:eastAsia="zh-CN"/>
              </w:rPr>
              <w:t>/4.5.1/4.5.2/</w:t>
            </w:r>
            <w:r>
              <w:rPr>
                <w:rFonts w:hint="eastAsia"/>
                <w:sz w:val="21"/>
                <w:szCs w:val="21"/>
              </w:rPr>
              <w:t>4.6</w:t>
            </w:r>
          </w:p>
        </w:tc>
        <w:tc>
          <w:tcPr>
            <w:tcW w:w="1324" w:type="dxa"/>
            <w:tcBorders>
              <w:right w:val="single" w:color="auto" w:sz="8" w:space="0"/>
            </w:tcBorders>
            <w:vAlign w:val="center"/>
          </w:tcPr>
          <w:p>
            <w:pPr>
              <w:snapToGrid w:val="0"/>
              <w:spacing w:line="280" w:lineRule="exact"/>
              <w:jc w:val="left"/>
              <w:rPr>
                <w:rFonts w:hint="default"/>
                <w:b w:val="0"/>
                <w:bCs w:val="0"/>
                <w:sz w:val="21"/>
                <w:szCs w:val="21"/>
                <w:lang w:val="en-US" w:eastAsia="zh-CN"/>
              </w:rPr>
            </w:pPr>
            <w:r>
              <w:rPr>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rPr>
            </w:pPr>
          </w:p>
        </w:tc>
        <w:tc>
          <w:tcPr>
            <w:tcW w:w="12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16</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办公室</w:t>
            </w:r>
            <w:r>
              <w:rPr>
                <w:rFonts w:hint="default" w:ascii="Times New Roman" w:hAnsi="Times New Roman" w:eastAsia="宋体" w:cs="Times New Roman"/>
                <w:sz w:val="21"/>
                <w:szCs w:val="21"/>
              </w:rPr>
              <w:t>：组织的岗位、职责权限；目标、方案；环境因素/危险源识别评价；合规义务；法律法规要求；能力、培训和意识；信息交流、沟通参与和协商；文件总则、文件和记录控制；运行控制；应急准备和响应</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绩效的监视和测量；合规性评价；内部审核</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事件、不合格</w:t>
            </w:r>
            <w:r>
              <w:rPr>
                <w:rFonts w:hint="eastAsia" w:ascii="Times New Roman" w:hAnsi="Times New Roman" w:cs="Times New Roman"/>
                <w:sz w:val="21"/>
                <w:szCs w:val="21"/>
                <w:lang w:val="en-US" w:eastAsia="zh-CN"/>
              </w:rPr>
              <w:t>和</w:t>
            </w:r>
            <w:r>
              <w:rPr>
                <w:rFonts w:hint="default" w:ascii="Times New Roman" w:hAnsi="Times New Roman" w:eastAsia="宋体" w:cs="Times New Roman"/>
                <w:sz w:val="21"/>
                <w:szCs w:val="21"/>
              </w:rPr>
              <w:t>纠正措施</w:t>
            </w:r>
          </w:p>
          <w:p>
            <w:pPr>
              <w:rPr>
                <w:rFonts w:hint="default"/>
                <w:sz w:val="21"/>
                <w:szCs w:val="21"/>
                <w:lang w:val="en-US" w:eastAsia="zh-CN"/>
              </w:rPr>
            </w:pPr>
            <w:r>
              <w:rPr>
                <w:rFonts w:hint="eastAsia"/>
                <w:sz w:val="21"/>
                <w:szCs w:val="21"/>
                <w:lang w:val="en-US" w:eastAsia="zh-CN"/>
              </w:rPr>
              <w:t>E5.3/6.1.2/6.1.3/6.2/8.1/8.2/9.1.2/9.2/10.2</w:t>
            </w:r>
          </w:p>
          <w:p>
            <w:pPr>
              <w:keepNext w:val="0"/>
              <w:keepLines w:val="0"/>
              <w:pageBreakBefore w:val="0"/>
              <w:widowControl w:val="0"/>
              <w:kinsoku/>
              <w:wordWrap/>
              <w:overflowPunct/>
              <w:topLinePunct w:val="0"/>
              <w:autoSpaceDE/>
              <w:autoSpaceDN/>
              <w:bidi w:val="0"/>
              <w:spacing w:line="300" w:lineRule="exact"/>
              <w:textAlignment w:val="auto"/>
              <w:rPr>
                <w:rFonts w:hint="eastAsia"/>
                <w:sz w:val="21"/>
                <w:szCs w:val="21"/>
                <w:lang w:val="en-US" w:eastAsia="zh-CN"/>
              </w:rPr>
            </w:pPr>
            <w:r>
              <w:rPr>
                <w:rFonts w:hint="eastAsia"/>
                <w:sz w:val="21"/>
                <w:szCs w:val="21"/>
                <w:lang w:val="en-US" w:eastAsia="zh-CN"/>
              </w:rPr>
              <w:t>S</w:t>
            </w:r>
            <w:r>
              <w:rPr>
                <w:rFonts w:hint="eastAsia"/>
                <w:sz w:val="21"/>
                <w:szCs w:val="21"/>
              </w:rPr>
              <w:t>4.4.1</w:t>
            </w:r>
            <w:r>
              <w:rPr>
                <w:rFonts w:hint="eastAsia"/>
                <w:sz w:val="21"/>
                <w:szCs w:val="21"/>
                <w:lang w:val="en-US" w:eastAsia="zh-CN"/>
              </w:rPr>
              <w:t>/4.3.1/4.3.2/4.3.3/4.4.2/4.4.3/4.4.4/4.4.5/</w:t>
            </w:r>
            <w:r>
              <w:rPr>
                <w:rFonts w:hint="eastAsia"/>
                <w:sz w:val="21"/>
                <w:szCs w:val="21"/>
              </w:rPr>
              <w:t>4.4.6</w:t>
            </w:r>
            <w:r>
              <w:rPr>
                <w:rFonts w:hint="eastAsia"/>
                <w:sz w:val="21"/>
                <w:szCs w:val="21"/>
                <w:lang w:val="en-US" w:eastAsia="zh-CN"/>
              </w:rPr>
              <w:t>/</w:t>
            </w:r>
            <w:r>
              <w:rPr>
                <w:rFonts w:hint="eastAsia"/>
                <w:sz w:val="21"/>
                <w:szCs w:val="21"/>
                <w:lang w:val="zh-CN" w:eastAsia="zh-CN"/>
              </w:rPr>
              <w:t>4.4.7</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4.5.1/4.5.2/4.5.3/4.5.4/4.5.5</w:t>
            </w:r>
          </w:p>
        </w:tc>
        <w:tc>
          <w:tcPr>
            <w:tcW w:w="1324" w:type="dxa"/>
            <w:tcBorders>
              <w:right w:val="single" w:color="auto" w:sz="8" w:space="0"/>
            </w:tcBorders>
            <w:vAlign w:val="center"/>
          </w:tcPr>
          <w:p>
            <w:pPr>
              <w:snapToGrid w:val="0"/>
              <w:spacing w:line="280" w:lineRule="exact"/>
              <w:jc w:val="left"/>
              <w:rPr>
                <w:rFonts w:hint="default"/>
                <w:b w:val="0"/>
                <w:bCs w:val="0"/>
                <w:sz w:val="21"/>
                <w:szCs w:val="21"/>
                <w:lang w:val="en-US" w:eastAsia="zh-CN"/>
              </w:rPr>
            </w:pPr>
            <w:r>
              <w:rPr>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11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2020.10.19</w:t>
            </w:r>
          </w:p>
        </w:tc>
        <w:tc>
          <w:tcPr>
            <w:tcW w:w="12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rPr>
                <w:rFonts w:hint="eastAsia"/>
                <w:sz w:val="21"/>
                <w:szCs w:val="21"/>
                <w:lang w:eastAsia="zh-CN"/>
              </w:rPr>
            </w:pPr>
            <w:r>
              <w:rPr>
                <w:rFonts w:hint="eastAsia"/>
                <w:sz w:val="21"/>
                <w:szCs w:val="21"/>
                <w:lang w:val="en-US" w:eastAsia="zh-CN"/>
              </w:rPr>
              <w:t>生产技术</w:t>
            </w:r>
            <w:r>
              <w:rPr>
                <w:rFonts w:hint="eastAsia"/>
                <w:sz w:val="21"/>
                <w:szCs w:val="21"/>
                <w:lang w:eastAsia="zh-CN"/>
              </w:rPr>
              <w:t>部：</w:t>
            </w:r>
            <w:r>
              <w:rPr>
                <w:rFonts w:hint="eastAsia"/>
                <w:sz w:val="21"/>
                <w:szCs w:val="21"/>
              </w:rPr>
              <w:t>资源作用职责责任权限</w:t>
            </w:r>
            <w:r>
              <w:rPr>
                <w:rFonts w:hint="eastAsia"/>
                <w:sz w:val="21"/>
                <w:szCs w:val="21"/>
                <w:lang w:eastAsia="zh-CN"/>
              </w:rPr>
              <w:t>；目标；</w:t>
            </w:r>
            <w:r>
              <w:rPr>
                <w:rFonts w:hint="eastAsia"/>
                <w:sz w:val="21"/>
                <w:szCs w:val="21"/>
                <w:lang w:val="en-US" w:eastAsia="zh-CN"/>
              </w:rPr>
              <w:t>环境因素；</w:t>
            </w:r>
            <w:r>
              <w:rPr>
                <w:rFonts w:hint="eastAsia"/>
                <w:sz w:val="21"/>
                <w:szCs w:val="21"/>
                <w:lang w:eastAsia="zh-CN"/>
              </w:rPr>
              <w:t>危险源辨识、风险</w:t>
            </w:r>
            <w:r>
              <w:rPr>
                <w:rFonts w:hint="eastAsia"/>
                <w:sz w:val="21"/>
                <w:szCs w:val="21"/>
              </w:rPr>
              <w:t>评价</w:t>
            </w:r>
            <w:r>
              <w:rPr>
                <w:rFonts w:hint="eastAsia"/>
                <w:sz w:val="21"/>
                <w:szCs w:val="21"/>
                <w:lang w:eastAsia="zh-CN"/>
              </w:rPr>
              <w:t>和控制措施的确定；</w:t>
            </w:r>
            <w:r>
              <w:rPr>
                <w:rFonts w:hint="eastAsia"/>
                <w:sz w:val="21"/>
                <w:szCs w:val="21"/>
              </w:rPr>
              <w:t>运行控制</w:t>
            </w:r>
            <w:r>
              <w:rPr>
                <w:rFonts w:hint="eastAsia"/>
                <w:sz w:val="21"/>
                <w:szCs w:val="21"/>
                <w:lang w:eastAsia="zh-CN"/>
              </w:rPr>
              <w:t>；应急准备和响应</w:t>
            </w:r>
          </w:p>
          <w:p>
            <w:pPr>
              <w:rPr>
                <w:rFonts w:hint="eastAsia"/>
                <w:sz w:val="21"/>
                <w:szCs w:val="21"/>
                <w:lang w:val="en-US" w:eastAsia="zh-CN"/>
              </w:rPr>
            </w:pPr>
            <w:r>
              <w:rPr>
                <w:rFonts w:hint="eastAsia"/>
                <w:sz w:val="21"/>
                <w:szCs w:val="21"/>
                <w:lang w:val="en-US" w:eastAsia="zh-CN"/>
              </w:rPr>
              <w:t>涉及条款：E5.3/6.1.2/6.2/8.1/8.2</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kern w:val="2"/>
                <w:sz w:val="21"/>
                <w:szCs w:val="21"/>
                <w:lang w:val="en-US" w:eastAsia="zh-CN" w:bidi="ar-SA"/>
              </w:rPr>
            </w:pPr>
            <w:r>
              <w:rPr>
                <w:rFonts w:hint="eastAsia"/>
                <w:sz w:val="21"/>
                <w:szCs w:val="21"/>
                <w:lang w:val="en-US" w:eastAsia="zh-CN"/>
              </w:rPr>
              <w:t>S</w:t>
            </w:r>
            <w:r>
              <w:rPr>
                <w:rFonts w:hint="eastAsia"/>
                <w:sz w:val="21"/>
                <w:szCs w:val="21"/>
              </w:rPr>
              <w:t>4.4.1</w:t>
            </w:r>
            <w:r>
              <w:rPr>
                <w:rFonts w:hint="eastAsia"/>
                <w:sz w:val="21"/>
                <w:szCs w:val="21"/>
                <w:lang w:val="en-US" w:eastAsia="zh-CN"/>
              </w:rPr>
              <w:t>/</w:t>
            </w:r>
            <w:r>
              <w:rPr>
                <w:rFonts w:hint="eastAsia"/>
                <w:sz w:val="21"/>
                <w:szCs w:val="21"/>
              </w:rPr>
              <w:t>4.</w:t>
            </w:r>
            <w:r>
              <w:rPr>
                <w:rFonts w:hint="eastAsia"/>
                <w:sz w:val="21"/>
                <w:szCs w:val="21"/>
                <w:lang w:val="en-US" w:eastAsia="zh-CN"/>
              </w:rPr>
              <w:t>3.3/4.3.1/</w:t>
            </w:r>
            <w:r>
              <w:rPr>
                <w:rFonts w:hint="eastAsia"/>
                <w:sz w:val="21"/>
                <w:szCs w:val="21"/>
              </w:rPr>
              <w:t>4.4.6</w:t>
            </w:r>
            <w:r>
              <w:rPr>
                <w:rFonts w:hint="eastAsia"/>
                <w:sz w:val="21"/>
                <w:szCs w:val="21"/>
                <w:lang w:val="en-US" w:eastAsia="zh-CN"/>
              </w:rPr>
              <w:t>/</w:t>
            </w:r>
            <w:r>
              <w:rPr>
                <w:rFonts w:hint="eastAsia"/>
                <w:sz w:val="21"/>
                <w:szCs w:val="21"/>
                <w:lang w:val="zh-CN" w:eastAsia="zh-CN"/>
              </w:rPr>
              <w:t>4.4.7</w:t>
            </w:r>
          </w:p>
        </w:tc>
        <w:tc>
          <w:tcPr>
            <w:tcW w:w="1324" w:type="dxa"/>
            <w:tcBorders>
              <w:right w:val="single" w:color="auto" w:sz="8" w:space="0"/>
            </w:tcBorders>
            <w:vAlign w:val="center"/>
          </w:tcPr>
          <w:p>
            <w:pPr>
              <w:snapToGrid w:val="0"/>
              <w:spacing w:line="280" w:lineRule="exact"/>
              <w:jc w:val="left"/>
              <w:rPr>
                <w:rFonts w:hint="default"/>
                <w:b w:val="0"/>
                <w:bCs w:val="0"/>
                <w:sz w:val="21"/>
                <w:szCs w:val="21"/>
                <w:lang w:val="en-US" w:eastAsia="zh-CN"/>
              </w:rPr>
            </w:pPr>
            <w:r>
              <w:rPr>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11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p>
        </w:tc>
        <w:tc>
          <w:tcPr>
            <w:tcW w:w="12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16</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rPr>
                <w:rFonts w:hint="eastAsia"/>
                <w:sz w:val="21"/>
                <w:szCs w:val="21"/>
                <w:lang w:eastAsia="zh-CN"/>
              </w:rPr>
            </w:pPr>
            <w:r>
              <w:rPr>
                <w:rFonts w:hint="eastAsia"/>
                <w:sz w:val="21"/>
                <w:szCs w:val="21"/>
                <w:lang w:val="en-US" w:eastAsia="zh-CN"/>
              </w:rPr>
              <w:t>供销</w:t>
            </w:r>
            <w:r>
              <w:rPr>
                <w:rFonts w:hint="eastAsia"/>
                <w:sz w:val="21"/>
                <w:szCs w:val="21"/>
                <w:lang w:eastAsia="zh-CN"/>
              </w:rPr>
              <w:t>部：</w:t>
            </w:r>
            <w:r>
              <w:rPr>
                <w:rFonts w:hint="eastAsia"/>
                <w:sz w:val="21"/>
                <w:szCs w:val="21"/>
              </w:rPr>
              <w:t>资源作用职责责任权限</w:t>
            </w:r>
            <w:r>
              <w:rPr>
                <w:rFonts w:hint="eastAsia"/>
                <w:sz w:val="21"/>
                <w:szCs w:val="21"/>
                <w:lang w:eastAsia="zh-CN"/>
              </w:rPr>
              <w:t>；目标；</w:t>
            </w:r>
            <w:r>
              <w:rPr>
                <w:rFonts w:hint="eastAsia"/>
                <w:sz w:val="21"/>
                <w:szCs w:val="21"/>
                <w:lang w:val="en-US" w:eastAsia="zh-CN"/>
              </w:rPr>
              <w:t>环境因素；</w:t>
            </w:r>
            <w:r>
              <w:rPr>
                <w:rFonts w:hint="eastAsia"/>
                <w:sz w:val="21"/>
                <w:szCs w:val="21"/>
                <w:lang w:eastAsia="zh-CN"/>
              </w:rPr>
              <w:t>危险源辨识、风险</w:t>
            </w:r>
            <w:r>
              <w:rPr>
                <w:rFonts w:hint="eastAsia"/>
                <w:sz w:val="21"/>
                <w:szCs w:val="21"/>
              </w:rPr>
              <w:t>评价</w:t>
            </w:r>
            <w:r>
              <w:rPr>
                <w:rFonts w:hint="eastAsia"/>
                <w:sz w:val="21"/>
                <w:szCs w:val="21"/>
                <w:lang w:eastAsia="zh-CN"/>
              </w:rPr>
              <w:t>和控制措施的确定；</w:t>
            </w:r>
            <w:r>
              <w:rPr>
                <w:rFonts w:hint="eastAsia"/>
                <w:sz w:val="21"/>
                <w:szCs w:val="21"/>
              </w:rPr>
              <w:t>运行控制</w:t>
            </w:r>
            <w:r>
              <w:rPr>
                <w:rFonts w:hint="eastAsia"/>
                <w:sz w:val="21"/>
                <w:szCs w:val="21"/>
                <w:lang w:eastAsia="zh-CN"/>
              </w:rPr>
              <w:t>；应急准备和响应</w:t>
            </w:r>
          </w:p>
          <w:p>
            <w:pPr>
              <w:rPr>
                <w:rFonts w:hint="eastAsia"/>
                <w:sz w:val="21"/>
                <w:szCs w:val="21"/>
                <w:lang w:val="en-US" w:eastAsia="zh-CN"/>
              </w:rPr>
            </w:pPr>
            <w:r>
              <w:rPr>
                <w:rFonts w:hint="eastAsia"/>
                <w:sz w:val="21"/>
                <w:szCs w:val="21"/>
                <w:lang w:val="en-US" w:eastAsia="zh-CN"/>
              </w:rPr>
              <w:t>涉及条款：E5.3/6.1.2/6.2/8.1/8.2</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sz w:val="21"/>
                <w:szCs w:val="21"/>
                <w:lang w:val="en-US" w:eastAsia="zh-CN"/>
              </w:rPr>
              <w:t>S</w:t>
            </w:r>
            <w:r>
              <w:rPr>
                <w:rFonts w:hint="eastAsia"/>
                <w:sz w:val="21"/>
                <w:szCs w:val="21"/>
              </w:rPr>
              <w:t>4.4.1</w:t>
            </w:r>
            <w:r>
              <w:rPr>
                <w:rFonts w:hint="eastAsia"/>
                <w:sz w:val="21"/>
                <w:szCs w:val="21"/>
                <w:lang w:val="en-US" w:eastAsia="zh-CN"/>
              </w:rPr>
              <w:t>/</w:t>
            </w:r>
            <w:r>
              <w:rPr>
                <w:rFonts w:hint="eastAsia"/>
                <w:sz w:val="21"/>
                <w:szCs w:val="21"/>
              </w:rPr>
              <w:t>4.</w:t>
            </w:r>
            <w:r>
              <w:rPr>
                <w:rFonts w:hint="eastAsia"/>
                <w:sz w:val="21"/>
                <w:szCs w:val="21"/>
                <w:lang w:val="en-US" w:eastAsia="zh-CN"/>
              </w:rPr>
              <w:t>3.3/4.3.1/</w:t>
            </w:r>
            <w:r>
              <w:rPr>
                <w:rFonts w:hint="eastAsia"/>
                <w:sz w:val="21"/>
                <w:szCs w:val="21"/>
              </w:rPr>
              <w:t>4.4.6</w:t>
            </w:r>
            <w:r>
              <w:rPr>
                <w:rFonts w:hint="eastAsia"/>
                <w:sz w:val="21"/>
                <w:szCs w:val="21"/>
                <w:lang w:val="en-US" w:eastAsia="zh-CN"/>
              </w:rPr>
              <w:t>/</w:t>
            </w:r>
            <w:r>
              <w:rPr>
                <w:rFonts w:hint="eastAsia"/>
                <w:sz w:val="21"/>
                <w:szCs w:val="21"/>
                <w:lang w:val="zh-CN" w:eastAsia="zh-CN"/>
              </w:rPr>
              <w:t>4.4.7</w:t>
            </w:r>
          </w:p>
        </w:tc>
        <w:tc>
          <w:tcPr>
            <w:tcW w:w="1324" w:type="dxa"/>
            <w:tcBorders>
              <w:right w:val="single" w:color="auto" w:sz="8" w:space="0"/>
            </w:tcBorders>
            <w:vAlign w:val="center"/>
          </w:tcPr>
          <w:p>
            <w:pPr>
              <w:snapToGrid w:val="0"/>
              <w:spacing w:line="280" w:lineRule="exact"/>
              <w:jc w:val="left"/>
              <w:rPr>
                <w:rFonts w:hint="default" w:eastAsia="宋体"/>
                <w:b w:val="0"/>
                <w:bCs/>
                <w:sz w:val="21"/>
                <w:szCs w:val="21"/>
                <w:lang w:val="en-US" w:eastAsia="zh-CN"/>
              </w:rPr>
            </w:pPr>
            <w:r>
              <w:rPr>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179" w:type="dxa"/>
            <w:vAlign w:val="center"/>
          </w:tcPr>
          <w:p>
            <w:pPr>
              <w:keepNext w:val="0"/>
              <w:keepLines w:val="0"/>
              <w:pageBreakBefore w:val="0"/>
              <w:widowControl w:val="0"/>
              <w:kinsoku/>
              <w:wordWrap/>
              <w:overflowPunct/>
              <w:topLinePunct w:val="0"/>
              <w:autoSpaceDE/>
              <w:autoSpaceDN/>
              <w:bidi w:val="0"/>
              <w:snapToGrid w:val="0"/>
              <w:spacing w:line="300" w:lineRule="exact"/>
              <w:jc w:val="both"/>
              <w:textAlignment w:val="auto"/>
              <w:rPr>
                <w:rFonts w:hint="default" w:ascii="Times New Roman" w:hAnsi="Times New Roman" w:eastAsia="宋体" w:cs="Times New Roman"/>
                <w:b w:val="0"/>
                <w:bCs/>
                <w:sz w:val="21"/>
                <w:szCs w:val="21"/>
                <w:lang w:val="en-US"/>
              </w:rPr>
            </w:pPr>
          </w:p>
        </w:tc>
        <w:tc>
          <w:tcPr>
            <w:tcW w:w="12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1</w:t>
            </w:r>
            <w:r>
              <w:rPr>
                <w:rFonts w:hint="eastAsia" w:ascii="Times New Roman" w:hAnsi="Times New Roman"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eastAsia" w:ascii="Times New Roman" w:hAnsi="Times New Roman"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末次会议（管理层）</w:t>
            </w:r>
          </w:p>
        </w:tc>
        <w:tc>
          <w:tcPr>
            <w:tcW w:w="1324" w:type="dxa"/>
            <w:vAlign w:val="center"/>
          </w:tcPr>
          <w:p>
            <w:pPr>
              <w:snapToGrid w:val="0"/>
              <w:spacing w:line="280" w:lineRule="exact"/>
              <w:jc w:val="left"/>
              <w:rPr>
                <w:rFonts w:hint="default"/>
                <w:b w:val="0"/>
                <w:bCs w:val="0"/>
                <w:sz w:val="21"/>
                <w:szCs w:val="21"/>
                <w:lang w:val="en-US" w:eastAsia="zh-CN"/>
              </w:rPr>
            </w:pPr>
            <w:r>
              <w:rPr>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179" w:type="dxa"/>
            <w:vAlign w:val="top"/>
          </w:tcPr>
          <w:p>
            <w:pPr>
              <w:snapToGrid w:val="0"/>
              <w:spacing w:line="280" w:lineRule="exact"/>
              <w:jc w:val="left"/>
              <w:rPr>
                <w:rFonts w:hint="default" w:ascii="Times New Roman" w:hAnsi="Times New Roman" w:eastAsia="宋体" w:cs="Times New Roman"/>
                <w:b/>
                <w:kern w:val="2"/>
                <w:sz w:val="21"/>
                <w:szCs w:val="21"/>
                <w:lang w:val="en-US" w:eastAsia="zh-CN" w:bidi="ar-SA"/>
              </w:rPr>
            </w:pPr>
            <w:r>
              <w:rPr>
                <w:rFonts w:hint="eastAsia"/>
                <w:b/>
                <w:sz w:val="21"/>
                <w:szCs w:val="21"/>
                <w:lang w:val="en-US" w:eastAsia="zh-CN"/>
              </w:rPr>
              <w:t>注</w:t>
            </w:r>
          </w:p>
        </w:tc>
        <w:tc>
          <w:tcPr>
            <w:tcW w:w="1282" w:type="dxa"/>
            <w:vAlign w:val="center"/>
          </w:tcPr>
          <w:p>
            <w:pPr>
              <w:jc w:val="both"/>
              <w:rPr>
                <w:rFonts w:hint="default" w:ascii="宋体" w:hAnsi="宋体" w:eastAsia="宋体" w:cs="Times New Roman"/>
                <w:kern w:val="2"/>
                <w:sz w:val="21"/>
                <w:szCs w:val="21"/>
                <w:lang w:val="en-US" w:eastAsia="zh-CN" w:bidi="ar-SA"/>
              </w:rPr>
            </w:pPr>
            <w:r>
              <w:rPr>
                <w:rFonts w:hint="eastAsia" w:ascii="Times New Roman" w:hAnsi="Times New Roman" w:eastAsia="宋体" w:cs="Times New Roman"/>
                <w:b w:val="0"/>
                <w:bCs/>
                <w:sz w:val="21"/>
                <w:szCs w:val="21"/>
                <w:lang w:val="en-US" w:eastAsia="zh-CN"/>
              </w:rPr>
              <w:t>12</w:t>
            </w:r>
            <w:r>
              <w:rPr>
                <w:rFonts w:hint="eastAsia"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eastAsia" w:ascii="Times New Roman" w:hAnsi="Times New Roman" w:eastAsia="宋体" w:cs="Times New Roman"/>
                <w:b w:val="0"/>
                <w:bCs/>
                <w:sz w:val="21"/>
                <w:szCs w:val="21"/>
              </w:rPr>
              <w:t>0-1</w:t>
            </w:r>
            <w:r>
              <w:rPr>
                <w:rFonts w:hint="eastAsia" w:ascii="Times New Roman" w:hAnsi="Times New Roman" w:cs="Times New Roman"/>
                <w:b w:val="0"/>
                <w:bCs/>
                <w:sz w:val="21"/>
                <w:szCs w:val="21"/>
                <w:lang w:val="en-US" w:eastAsia="zh-CN"/>
              </w:rPr>
              <w:t>2</w:t>
            </w:r>
            <w:r>
              <w:rPr>
                <w:rFonts w:hint="eastAsia"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eastAsia" w:ascii="Times New Roman" w:hAnsi="Times New Roman" w:eastAsia="宋体" w:cs="Times New Roman"/>
                <w:b w:val="0"/>
                <w:bCs/>
                <w:sz w:val="21"/>
                <w:szCs w:val="21"/>
              </w:rPr>
              <w:t>0</w:t>
            </w:r>
          </w:p>
        </w:tc>
        <w:tc>
          <w:tcPr>
            <w:tcW w:w="6354" w:type="dxa"/>
            <w:vAlign w:val="center"/>
          </w:tcPr>
          <w:p>
            <w:pPr>
              <w:adjustRightInd w:val="0"/>
              <w:snapToGrid w:val="0"/>
              <w:spacing w:line="360" w:lineRule="auto"/>
              <w:jc w:val="both"/>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午休时间</w:t>
            </w:r>
          </w:p>
        </w:tc>
        <w:tc>
          <w:tcPr>
            <w:tcW w:w="1324" w:type="dxa"/>
            <w:vAlign w:val="center"/>
          </w:tcPr>
          <w:p>
            <w:pPr>
              <w:snapToGrid w:val="0"/>
              <w:spacing w:line="280" w:lineRule="exact"/>
              <w:jc w:val="left"/>
              <w:rPr>
                <w:rFonts w:hint="eastAsia"/>
                <w:b w:val="0"/>
                <w:bCs/>
                <w:sz w:val="21"/>
                <w:szCs w:val="21"/>
                <w:lang w:val="en-US" w:eastAsia="zh-CN"/>
              </w:rPr>
            </w:pPr>
          </w:p>
        </w:tc>
      </w:tr>
    </w:tbl>
    <w:p>
      <w:pPr>
        <w:pStyle w:val="10"/>
        <w:numPr>
          <w:ilvl w:val="0"/>
          <w:numId w:val="0"/>
        </w:numPr>
        <w:spacing w:line="300" w:lineRule="exact"/>
        <w:ind w:left="360" w:leftChars="0"/>
        <w:rPr>
          <w:rFonts w:ascii="宋体" w:hAnsi="宋体"/>
          <w:b/>
          <w:sz w:val="18"/>
          <w:szCs w:val="18"/>
        </w:rPr>
      </w:pP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0"/>
      </w:pBdr>
      <w:spacing w:line="320" w:lineRule="exact"/>
      <w:jc w:val="left"/>
    </w:pPr>
    <w:r>
      <w:pict>
        <v:shape id="_x0000_s2049" o:spid="_x0000_s2049"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r>
      <w:pict>
        <v:shape id="_x0000_s2050" o:spid="_x0000_s2050" o:spt="32" type="#_x0000_t32" style="position:absolute;left:0pt;margin-left:-0.05pt;margin-top:10.65pt;height:0pt;width:519.05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6C27A2"/>
    <w:rsid w:val="5D7F1E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uiPriority w:val="0"/>
    <w:rPr>
      <w:color w:val="0000FF"/>
      <w:u w:val="single"/>
    </w:r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1</TotalTime>
  <ScaleCrop>false</ScaleCrop>
  <LinksUpToDate>false</LinksUpToDate>
  <CharactersWithSpaces>1223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2020-10-19T03:05:32Z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