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重庆硕佳商贸有限公司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pacing w:val="-10"/>
          <w:sz w:val="20"/>
          <w:szCs w:val="20"/>
        </w:rPr>
      </w:pPr>
      <w:r>
        <w:rPr>
          <w:rFonts w:hint="eastAsia" w:ascii="宋体" w:hAnsi="宋体"/>
          <w:b/>
          <w:color w:val="000000" w:themeColor="text1"/>
          <w:sz w:val="26"/>
          <w:szCs w:val="26"/>
        </w:rPr>
        <w:t>审核准则</w:t>
      </w:r>
      <w:bookmarkStart w:id="4" w:name="审核依据"/>
      <w:r>
        <w:rPr>
          <w:rFonts w:hint="eastAsia" w:ascii="宋体" w:hAnsi="宋体"/>
          <w:b/>
          <w:color w:val="000000" w:themeColor="text1"/>
          <w:spacing w:val="-10"/>
          <w:sz w:val="20"/>
          <w:szCs w:val="20"/>
        </w:rPr>
        <w:t>GB/T19001-2016/ISO9001:2015</w:t>
      </w:r>
      <w:bookmarkEnd w:id="4"/>
    </w:p>
    <w:p>
      <w:pPr>
        <w:pStyle w:val="13"/>
        <w:numPr>
          <w:ilvl w:val="0"/>
          <w:numId w:val="0"/>
        </w:numPr>
        <w:ind w:left="-851" w:leftChars="0"/>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重庆硕佳商贸有限公司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重庆市渝中区上清寺路55号-3号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重庆市渝中区上清寺路55号-3号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孙吉</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13594183256</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孙吉</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孙吉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孙光金</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塑料制品（不含农膜）、装饰材料（不含危险化学品）、金属材料（不含稀贵金属）的销售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u w:val="none"/>
                <w:lang w:val="en-US" w:eastAsia="zh-CN" w:bidi="ar-SA"/>
                <w14:textFill>
                  <w14:solidFill>
                    <w14:schemeClr w14:val="tx1"/>
                  </w14:solidFill>
                </w14:textFill>
              </w:rPr>
            </w:pPr>
            <w:r>
              <w:rPr>
                <w:rFonts w:hint="eastAsia" w:ascii="宋体" w:hAnsi="宋体"/>
                <w:b/>
                <w:color w:val="000000" w:themeColor="text1"/>
                <w:spacing w:val="-20"/>
                <w:sz w:val="20"/>
                <w:szCs w:val="20"/>
                <w:u w:val="none"/>
                <w14:textFill>
                  <w14:solidFill>
                    <w14:schemeClr w14:val="tx1"/>
                  </w14:solidFill>
                </w14:textFill>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u w:val="none"/>
                <w:lang w:val="en-US" w:eastAsia="zh-CN" w:bidi="ar-SA"/>
                <w14:textFill>
                  <w14:solidFill>
                    <w14:schemeClr w14:val="tx1"/>
                  </w14:solidFill>
                </w14:textFill>
              </w:rPr>
            </w:pPr>
            <w:r>
              <w:rPr>
                <w:rFonts w:hint="eastAsia" w:ascii="宋体" w:hAnsi="宋体"/>
                <w:b/>
                <w:color w:val="000000" w:themeColor="text1"/>
                <w:spacing w:val="-20"/>
                <w:sz w:val="20"/>
                <w:szCs w:val="20"/>
                <w:u w:val="none"/>
                <w14:textFill>
                  <w14:solidFill>
                    <w14:schemeClr w14:val="tx1"/>
                  </w14:solidFill>
                </w14:textFill>
              </w:rPr>
              <w:t>业务部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3119" w:type="dxa"/>
            <w:vAlign w:val="top"/>
          </w:tcPr>
          <w:p>
            <w:pPr>
              <w:jc w:val="center"/>
              <w:rPr>
                <w:rFonts w:ascii="宋体" w:hAnsi="宋体" w:eastAsia="宋体" w:cs="Times New Roman"/>
                <w:b/>
                <w:color w:val="000000" w:themeColor="text1"/>
                <w:kern w:val="2"/>
                <w:sz w:val="20"/>
                <w:szCs w:val="20"/>
                <w:u w:val="none"/>
                <w:lang w:val="en-US" w:eastAsia="zh-CN" w:bidi="ar-SA"/>
                <w14:textFill>
                  <w14:solidFill>
                    <w14:schemeClr w14:val="tx1"/>
                  </w14:solidFill>
                </w14:textFill>
              </w:rPr>
            </w:pPr>
            <w:r>
              <w:rPr>
                <w:rFonts w:hint="eastAsia" w:ascii="宋体" w:hAnsi="宋体"/>
                <w:b/>
                <w:color w:val="000000" w:themeColor="text1"/>
                <w:spacing w:val="-20"/>
                <w:sz w:val="20"/>
                <w:szCs w:val="20"/>
                <w:u w:val="none"/>
                <w14:textFill>
                  <w14:solidFill>
                    <w14:schemeClr w14:val="tx1"/>
                  </w14:solidFill>
                </w14:textFill>
              </w:rPr>
              <w:t>客服部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14:textFill>
                  <w14:solidFill>
                    <w14:schemeClr w14:val="tx1"/>
                  </w14:solidFill>
                </w14:textFill>
              </w:rPr>
            </w:pPr>
            <w:r>
              <w:rPr>
                <w:rFonts w:hint="eastAsia" w:ascii="宋体" w:hAnsi="宋体"/>
                <w:b/>
                <w:color w:val="000000" w:themeColor="text1"/>
                <w:sz w:val="20"/>
                <w:szCs w:val="20"/>
                <w14:textFill>
                  <w14:solidFill>
                    <w14:schemeClr w14:val="tx1"/>
                  </w14:solidFill>
                </w14:textFill>
              </w:rPr>
              <w:t>不合格品控制；</w:t>
            </w:r>
            <w:r>
              <w:rPr>
                <w:rFonts w:hint="eastAsia" w:ascii="宋体" w:hAnsi="宋体"/>
                <w:b/>
                <w:color w:val="000000" w:themeColor="text1"/>
                <w:sz w:val="20"/>
                <w:szCs w:val="20"/>
                <w:lang w:val="en-US" w:eastAsia="zh-CN"/>
                <w14:textFill>
                  <w14:solidFill>
                    <w14:schemeClr w14:val="tx1"/>
                  </w14:solidFill>
                </w14:textFill>
              </w:rPr>
              <w:t>顾客满意度调查。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color w:val="000000" w:themeColor="text1"/>
                <w:szCs w:val="21"/>
                <w:lang w:eastAsia="zh-CN"/>
              </w:rPr>
              <w:t>塑料制品（不含农膜）、装饰材料（不含危险化学品）、金属材料（不含稀贵金属）的销售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eastAsia="宋体" w:cs="Times New Roman"/>
                <w:b w:val="0"/>
                <w:color w:val="000000" w:themeColor="text1"/>
                <w:kern w:val="2"/>
                <w:sz w:val="21"/>
                <w:szCs w:val="21"/>
                <w:lang w:val="en-US" w:eastAsia="zh-CN" w:bidi="ar-SA"/>
              </w:rPr>
              <w:t>《产品技术标准号：GB/T 37866-2019绿色产品评价 塑料制品、SB/T 10972-2013建材及装饰材料安全使用技术导则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10</w:t>
      </w:r>
      <w:r>
        <w:rPr>
          <w:rFonts w:hint="eastAsia"/>
          <w:b/>
          <w:color w:val="000000" w:themeColor="text1"/>
          <w:spacing w:val="-10"/>
          <w:szCs w:val="21"/>
        </w:rPr>
        <w:t>月</w:t>
      </w:r>
      <w:r>
        <w:rPr>
          <w:rFonts w:hint="eastAsia"/>
          <w:b/>
          <w:color w:val="000000" w:themeColor="text1"/>
          <w:spacing w:val="-10"/>
          <w:szCs w:val="21"/>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日至</w:t>
      </w:r>
      <w:r>
        <w:rPr>
          <w:rFonts w:hint="eastAsia"/>
          <w:b/>
          <w:color w:val="000000" w:themeColor="text1"/>
          <w:spacing w:val="-10"/>
          <w:szCs w:val="21"/>
          <w:lang w:val="en-US" w:eastAsia="zh-CN"/>
        </w:rPr>
        <w:t xml:space="preserve">    </w:t>
      </w:r>
      <w:r>
        <w:rPr>
          <w:rFonts w:hint="eastAsia"/>
          <w:b/>
          <w:color w:val="000000" w:themeColor="text1"/>
          <w:spacing w:val="-10"/>
          <w:szCs w:val="21"/>
        </w:rPr>
        <w:t>年</w:t>
      </w:r>
      <w:r>
        <w:rPr>
          <w:rFonts w:hint="eastAsia"/>
          <w:b/>
          <w:color w:val="000000" w:themeColor="text1"/>
          <w:spacing w:val="-10"/>
          <w:szCs w:val="21"/>
          <w:lang w:val="en-US" w:eastAsia="zh-CN"/>
        </w:rPr>
        <w:t xml:space="preserve">   </w:t>
      </w:r>
      <w:r>
        <w:rPr>
          <w:rFonts w:hint="eastAsia"/>
          <w:b/>
          <w:color w:val="000000" w:themeColor="text1"/>
          <w:spacing w:val="-10"/>
          <w:szCs w:val="21"/>
        </w:rPr>
        <w:t>月</w:t>
      </w:r>
      <w:r>
        <w:rPr>
          <w:rFonts w:hint="eastAsia"/>
          <w:b/>
          <w:color w:val="000000" w:themeColor="text1"/>
          <w:spacing w:val="-10"/>
          <w:szCs w:val="21"/>
          <w:lang w:val="en-US" w:eastAsia="zh-CN"/>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质量第一、顾客至上、科技领先、追求卓越。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val="en-US" w:eastAsia="zh-CN"/>
              </w:rPr>
            </w:pPr>
            <w:r>
              <w:rPr>
                <w:rFonts w:hint="eastAsia" w:ascii="宋体" w:hAnsi="宋体"/>
                <w:sz w:val="21"/>
                <w:szCs w:val="21"/>
                <w:lang w:eastAsia="zh-CN"/>
              </w:rPr>
              <w:t>质量管理体系过程有：</w:t>
            </w:r>
          </w:p>
          <w:p>
            <w:pPr>
              <w:widowControl/>
              <w:spacing w:line="400" w:lineRule="exact"/>
              <w:rPr>
                <w:rFonts w:hint="eastAsia" w:ascii="宋体" w:hAnsi="宋体" w:eastAsia="宋体"/>
                <w:szCs w:val="22"/>
                <w:lang w:eastAsia="zh-CN"/>
              </w:rPr>
            </w:pPr>
            <w:r>
              <w:rPr>
                <w:rFonts w:hint="eastAsia" w:ascii="宋体" w:hAnsi="宋体" w:eastAsia="宋体"/>
                <w:szCs w:val="22"/>
                <w:lang w:eastAsia="zh-CN"/>
              </w:rPr>
              <w:t>客户需求---签订销售合同—采购—验收—交付</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关键过程：销售过程。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需确认/特殊过程：销售过程</w:t>
            </w:r>
          </w:p>
          <w:p>
            <w:pPr>
              <w:widowControl/>
              <w:spacing w:line="400" w:lineRule="exac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外包过程：无</w:t>
            </w:r>
          </w:p>
          <w:p>
            <w:pPr>
              <w:spacing w:line="240" w:lineRule="exact"/>
              <w:ind w:firstLine="210" w:firstLineChars="100"/>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sz w:val="21"/>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r>
              <w:rPr>
                <w:rFonts w:hint="eastAsia" w:ascii="宋体" w:hAnsi="宋体" w:cs="Times New Roman"/>
                <w:color w:val="000000" w:themeColor="text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spacing w:line="360" w:lineRule="auto"/>
              <w:ind w:firstLine="1890" w:firstLineChars="900"/>
              <w:rPr>
                <w:rFonts w:hint="eastAsia" w:ascii="宋体" w:hAnsi="宋体"/>
                <w:bCs/>
                <w:sz w:val="21"/>
                <w:szCs w:val="21"/>
                <w:lang w:eastAsia="zh-CN"/>
              </w:rPr>
            </w:pPr>
            <w:r>
              <w:rPr>
                <w:rFonts w:hint="eastAsia" w:ascii="宋体" w:hAnsi="宋体"/>
                <w:bCs/>
                <w:sz w:val="21"/>
                <w:szCs w:val="21"/>
                <w:lang w:eastAsia="zh-CN"/>
              </w:rPr>
              <w:t xml:space="preserve">客户满意度≧90% </w:t>
            </w:r>
          </w:p>
          <w:p>
            <w:pPr>
              <w:pStyle w:val="3"/>
              <w:numPr>
                <w:ilvl w:val="0"/>
                <w:numId w:val="0"/>
              </w:numPr>
              <w:tabs>
                <w:tab w:val="left" w:pos="1260"/>
              </w:tabs>
              <w:ind w:left="900" w:leftChars="0" w:firstLine="1050" w:firstLineChars="500"/>
              <w:rPr>
                <w:rFonts w:ascii="宋体" w:hAnsi="宋体"/>
                <w:b/>
                <w:color w:val="000000" w:themeColor="text1"/>
              </w:rPr>
            </w:pPr>
            <w:r>
              <w:rPr>
                <w:rFonts w:hint="eastAsia" w:ascii="宋体" w:hAnsi="宋体"/>
                <w:bCs/>
                <w:sz w:val="21"/>
                <w:szCs w:val="21"/>
                <w:lang w:eastAsia="zh-CN"/>
              </w:rPr>
              <w:t xml:space="preserve">产品交付合格率100% </w:t>
            </w:r>
            <w:r>
              <w:rPr>
                <w:rFonts w:hint="eastAsia" w:ascii="宋体" w:hAnsi="宋体" w:eastAsia="宋体" w:cs="Times New Roman"/>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06</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color w:val="000000" w:themeColor="text1"/>
                <w:sz w:val="21"/>
                <w:szCs w:val="21"/>
                <w:lang w:val="en-US" w:eastAsia="zh-CN"/>
                <w14:textFill>
                  <w14:solidFill>
                    <w14:schemeClr w14:val="tx1"/>
                  </w14:solidFill>
                </w14:textFill>
              </w:rPr>
              <w:t>组织为租赁的办公场地，</w:t>
            </w:r>
            <w:r>
              <w:rPr>
                <w:rFonts w:hint="eastAsia" w:ascii="宋体" w:hAnsi="宋体"/>
                <w:color w:val="000000" w:themeColor="text1"/>
                <w:szCs w:val="21"/>
                <w14:textFill>
                  <w14:solidFill>
                    <w14:schemeClr w14:val="tx1"/>
                  </w14:solidFill>
                </w14:textFill>
              </w:rPr>
              <w:t>办公面积</w:t>
            </w:r>
            <w:r>
              <w:rPr>
                <w:rFonts w:hint="eastAsia" w:ascii="宋体" w:hAnsi="宋体"/>
                <w:color w:val="000000" w:themeColor="text1"/>
                <w:szCs w:val="21"/>
                <w:lang w:val="en-US" w:eastAsia="zh-CN"/>
                <w14:textFill>
                  <w14:solidFill>
                    <w14:schemeClr w14:val="tx1"/>
                  </w14:solidFill>
                </w14:textFill>
              </w:rPr>
              <w:t>65</w:t>
            </w:r>
            <w:r>
              <w:rPr>
                <w:rFonts w:hint="eastAsia" w:ascii="宋体" w:hAnsi="宋体"/>
                <w:color w:val="000000" w:themeColor="text1"/>
                <w:szCs w:val="21"/>
                <w14:textFill>
                  <w14:solidFill>
                    <w14:schemeClr w14:val="tx1"/>
                  </w14:solidFill>
                </w14:textFill>
              </w:rPr>
              <w:t>平方左右</w:t>
            </w:r>
            <w:r>
              <w:rPr>
                <w:rFonts w:hint="eastAsia"/>
                <w:color w:val="000000" w:themeColor="text1"/>
                <w:sz w:val="2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公司采取开票销售的方式进行，销售商品由供应商直接交付到顾客，未设置库房等周转环节。</w:t>
            </w:r>
            <w:r>
              <w:rPr>
                <w:rFonts w:hint="eastAsia" w:ascii="宋体" w:hAnsi="宋体" w:cs="宋体"/>
                <w:color w:val="000000" w:themeColor="text1"/>
                <w:szCs w:val="21"/>
                <w14:textFill>
                  <w14:solidFill>
                    <w14:schemeClr w14:val="tx1"/>
                  </w14:solidFill>
                </w14:textFill>
              </w:rPr>
              <w:t>主要生产设备包括小汽车、</w:t>
            </w:r>
            <w:r>
              <w:rPr>
                <w:rFonts w:hint="eastAsia"/>
                <w:color w:val="000000" w:themeColor="text1"/>
                <w:szCs w:val="21"/>
                <w14:textFill>
                  <w14:solidFill>
                    <w14:schemeClr w14:val="tx1"/>
                  </w14:solidFill>
                </w14:textFill>
              </w:rPr>
              <w:t>电脑及办公设备</w:t>
            </w:r>
            <w:r>
              <w:rPr>
                <w:rStyle w:val="19"/>
                <w:rFonts w:hint="eastAsia" w:ascii="宋体" w:hAnsi="宋体"/>
                <w:color w:val="000000" w:themeColor="text1"/>
                <w:szCs w:val="21"/>
                <w14:textFill>
                  <w14:solidFill>
                    <w14:schemeClr w14:val="tx1"/>
                  </w14:solidFill>
                </w14:textFill>
              </w:rPr>
              <w:t>等</w:t>
            </w:r>
            <w:r>
              <w:rPr>
                <w:rFonts w:hint="eastAsia" w:ascii="宋体" w:hAnsi="宋体" w:cs="宋体"/>
                <w:color w:val="000000" w:themeColor="text1"/>
                <w:szCs w:val="21"/>
                <w14:textFill>
                  <w14:solidFill>
                    <w14:schemeClr w14:val="tx1"/>
                  </w14:solidFill>
                </w14:textFill>
              </w:rPr>
              <w:t>，可以满足</w:t>
            </w:r>
            <w:r>
              <w:rPr>
                <w:rFonts w:hint="eastAsia" w:ascii="宋体" w:hAnsi="宋体"/>
                <w:color w:val="000000" w:themeColor="text1"/>
                <w:szCs w:val="21"/>
                <w:lang w:eastAsia="zh-CN"/>
                <w14:textFill>
                  <w14:solidFill>
                    <w14:schemeClr w14:val="tx1"/>
                  </w14:solidFill>
                </w14:textFill>
              </w:rPr>
              <w:t>塑</w:t>
            </w:r>
            <w:r>
              <w:rPr>
                <w:rFonts w:hint="eastAsia" w:ascii="宋体" w:hAnsi="宋体"/>
                <w:color w:val="000000" w:themeColor="text1"/>
                <w:szCs w:val="21"/>
                <w:lang w:eastAsia="zh-CN"/>
              </w:rPr>
              <w:t>料制品（不含农膜）、装饰材料（不含危险化学品）、金属材料（不含稀贵金属）的销售</w:t>
            </w:r>
            <w:r>
              <w:rPr>
                <w:rFonts w:hint="eastAsia" w:ascii="宋体" w:hAnsi="宋体"/>
                <w:color w:val="000000" w:themeColor="text1"/>
                <w:szCs w:val="21"/>
                <w:lang w:val="en-US" w:eastAsia="zh-CN"/>
              </w:rPr>
              <w:t>需要</w:t>
            </w:r>
            <w:r>
              <w:rPr>
                <w:rFonts w:hint="eastAsia" w:ascii="宋体" w:hAnsi="宋体" w:cs="宋体"/>
                <w:color w:val="000000" w:themeColor="text1"/>
                <w:szCs w:val="21"/>
              </w:rPr>
              <w:t>。特种设备：</w:t>
            </w:r>
            <w:r>
              <w:rPr>
                <w:rFonts w:hint="eastAsia"/>
                <w:color w:val="000000" w:themeColor="text1"/>
                <w:szCs w:val="21"/>
              </w:rPr>
              <w:t>无</w:t>
            </w:r>
            <w:r>
              <w:rPr>
                <w:rFonts w:hint="eastAsia" w:ascii="宋体" w:hAnsi="宋体"/>
                <w:color w:val="000000" w:themeColor="text1"/>
                <w:szCs w:val="21"/>
              </w:rPr>
              <w:t>。</w:t>
            </w:r>
            <w:r>
              <w:rPr>
                <w:rFonts w:hint="eastAsia" w:ascii="宋体" w:hAnsi="宋体" w:cs="宋体"/>
                <w:color w:val="000000" w:themeColor="text1"/>
                <w:szCs w:val="21"/>
              </w:rPr>
              <w:t>公司未建立信息管理系统用于生产和服务</w:t>
            </w:r>
            <w:r>
              <w:rPr>
                <w:rFonts w:hint="eastAsia"/>
                <w:color w:val="000000" w:themeColor="text1"/>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szCs w:val="21"/>
              </w:rPr>
              <w:t>办公区域内</w:t>
            </w:r>
            <w:r>
              <w:rPr>
                <w:rFonts w:hint="eastAsia" w:ascii="宋体" w:hAnsi="宋体" w:cs="宋体"/>
                <w:szCs w:val="21"/>
              </w:rPr>
              <w:t>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rPr>
            </w:pPr>
            <w:r>
              <w:rPr>
                <w:rFonts w:hint="eastAsia" w:ascii="宋体" w:hAnsi="宋体"/>
                <w:b/>
                <w:color w:val="000000" w:themeColor="text1"/>
                <w:sz w:val="20"/>
                <w:szCs w:val="20"/>
              </w:rPr>
              <w:t>监视和测量资源</w:t>
            </w:r>
          </w:p>
          <w:p>
            <w:pPr>
              <w:snapToGrid w:val="0"/>
              <w:spacing w:line="280" w:lineRule="exact"/>
              <w:jc w:val="left"/>
              <w:rPr>
                <w:rFonts w:ascii="宋体" w:hAnsi="宋体"/>
                <w:b/>
                <w:color w:val="000000" w:themeColor="text1"/>
                <w:sz w:val="20"/>
                <w:szCs w:val="20"/>
              </w:rPr>
            </w:pPr>
            <w:r>
              <w:rPr>
                <w:rFonts w:hint="eastAsia" w:ascii="宋体" w:hAnsi="宋体" w:eastAsia="宋体" w:cs="Times New Roman"/>
                <w:b w:val="0"/>
                <w:color w:val="000000" w:themeColor="text1"/>
                <w:kern w:val="2"/>
                <w:sz w:val="21"/>
                <w:szCs w:val="21"/>
                <w:lang w:val="en-US" w:eastAsia="zh-CN" w:bidi="ar-SA"/>
              </w:rPr>
              <w:t>无检验和试验项目及要求。检验项目：</w:t>
            </w:r>
            <w:r>
              <w:rPr>
                <w:rFonts w:hint="eastAsia" w:ascii="宋体" w:hAnsi="宋体" w:eastAsia="宋体" w:cs="Times New Roman"/>
                <w:b w:val="0"/>
                <w:color w:val="000000" w:themeColor="text1"/>
                <w:kern w:val="2"/>
                <w:sz w:val="21"/>
                <w:szCs w:val="21"/>
                <w:lang w:val="en-US" w:eastAsia="zh-CN" w:bidi="ar-SA"/>
                <w14:textFill>
                  <w14:solidFill>
                    <w14:schemeClr w14:val="tx1"/>
                  </w14:solidFill>
                </w14:textFill>
              </w:rPr>
              <w:t>产品名称、外观、数量、型号进行验收。部分产品有供方提供有检验报告、分析报告、产品质量证明书等</w:t>
            </w:r>
            <w:r>
              <w:rPr>
                <w:rFonts w:hint="eastAsia" w:eastAsia="宋体"/>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最终产品质量由顾客确认，暂未配置检测设备</w:t>
            </w:r>
            <w:r>
              <w:rPr>
                <w:rFonts w:hint="eastAsia"/>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szCs w:val="21"/>
                <w:lang w:eastAsia="zh-CN"/>
              </w:rPr>
              <w:t>：</w:t>
            </w:r>
            <w:r>
              <w:rPr>
                <w:rFonts w:hint="eastAsia" w:ascii="宋体" w:hAnsi="宋体" w:cs="宋体"/>
                <w:color w:val="000000"/>
                <w:szCs w:val="21"/>
                <w:lang w:val="en-US" w:eastAsia="zh-CN"/>
              </w:rPr>
              <w:t xml:space="preserve">销售过程   </w:t>
            </w:r>
            <w:r>
              <w:rPr>
                <w:rFonts w:hint="eastAsia" w:ascii="宋体" w:hAnsi="宋体" w:cs="宋体"/>
                <w:color w:val="000000"/>
                <w:szCs w:val="21"/>
              </w:rPr>
              <w:t>特殊过程</w:t>
            </w:r>
            <w:r>
              <w:rPr>
                <w:rFonts w:hint="eastAsia" w:ascii="宋体" w:hAnsi="宋体" w:cs="宋体"/>
                <w:color w:val="000000"/>
                <w:szCs w:val="21"/>
                <w:lang w:eastAsia="zh-CN"/>
              </w:rPr>
              <w:t>：</w:t>
            </w:r>
            <w:r>
              <w:rPr>
                <w:rFonts w:hint="eastAsia" w:ascii="宋体" w:hAnsi="宋体" w:cs="宋体"/>
                <w:color w:val="000000"/>
                <w:szCs w:val="21"/>
                <w:lang w:val="en-US"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制定并实施了服务质量评价规定，规定了公司各管理层次和品质</w:t>
            </w:r>
            <w:r>
              <w:rPr>
                <w:rFonts w:hint="eastAsia" w:ascii="宋体" w:hAnsi="宋体" w:cs="宋体"/>
                <w:color w:val="000000"/>
                <w:szCs w:val="21"/>
                <w:lang w:val="en-US" w:eastAsia="zh-CN"/>
              </w:rPr>
              <w:t>管理</w:t>
            </w:r>
            <w:r>
              <w:rPr>
                <w:rFonts w:hint="eastAsia" w:ascii="宋体" w:hAnsi="宋体" w:cs="宋体"/>
                <w:color w:val="000000"/>
                <w:szCs w:val="21"/>
              </w:rPr>
              <w:t>部门在各阶段对服务质量实施检查与验收的管理要求。内容基本具备全面性、系统性及可操作性。质量检查与验收交付客户时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rFonts w:hint="default" w:ascii="Times New Roman" w:hAnsi="Times New Roman" w:cs="Times New Roman"/>
                <w:b/>
                <w:color w:val="000000" w:themeColor="text1"/>
                <w:sz w:val="20"/>
                <w:szCs w:val="20"/>
                <w:lang w:val="en-US" w:eastAsia="zh-CN"/>
              </w:rPr>
            </w:pPr>
            <w:r>
              <w:rPr>
                <w:rFonts w:hint="eastAsia" w:ascii="Times New Roman" w:hAnsi="Times New Roman" w:cs="Times New Roman"/>
                <w:b/>
                <w:color w:val="000000" w:themeColor="text1"/>
                <w:sz w:val="20"/>
                <w:szCs w:val="20"/>
              </w:rPr>
              <w:t>特种设备</w:t>
            </w:r>
            <w:r>
              <w:rPr>
                <w:rFonts w:hint="eastAsia" w:ascii="Times New Roman" w:hAnsi="Times New Roman" w:cs="Times New Roman"/>
                <w:b/>
                <w:color w:val="000000" w:themeColor="text1"/>
                <w:sz w:val="20"/>
                <w:szCs w:val="20"/>
                <w:lang w:eastAsia="zh-CN"/>
              </w:rPr>
              <w:t>：</w:t>
            </w:r>
            <w:r>
              <w:rPr>
                <w:rFonts w:hint="eastAsia" w:ascii="Times New Roman" w:hAnsi="Times New Roman" w:cs="Times New Roman"/>
                <w:b/>
                <w:color w:val="000000" w:themeColor="text1"/>
                <w:sz w:val="20"/>
                <w:szCs w:val="20"/>
                <w:lang w:val="en-US" w:eastAsia="zh-CN"/>
              </w:rPr>
              <w:t>2T行车一辆</w:t>
            </w:r>
          </w:p>
          <w:p>
            <w:pPr>
              <w:ind w:left="210" w:leftChars="100" w:firstLine="100" w:firstLineChars="50"/>
              <w:jc w:val="left"/>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themeColor="text1"/>
                <w:szCs w:val="21"/>
                <w14:textFill>
                  <w14:solidFill>
                    <w14:schemeClr w14:val="tx1"/>
                  </w14:solidFill>
                </w14:textFill>
              </w:rPr>
              <w:t>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2020年09</w:t>
            </w:r>
            <w:r>
              <w:rPr>
                <w:rFonts w:hint="eastAsia" w:ascii="宋体" w:hAnsi="宋体" w:cs="宋体"/>
                <w:color w:val="000000" w:themeColor="text1"/>
                <w:szCs w:val="21"/>
                <w14:textFill>
                  <w14:solidFill>
                    <w14:schemeClr w14:val="tx1"/>
                  </w14:solidFill>
                </w14:textFill>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w:t>
            </w:r>
            <w:r>
              <w:rPr>
                <w:rFonts w:hint="eastAsia" w:ascii="宋体" w:hAnsi="宋体" w:cs="宋体"/>
                <w:color w:val="000000" w:themeColor="text1"/>
                <w:szCs w:val="21"/>
                <w14:textFill>
                  <w14:solidFill>
                    <w14:schemeClr w14:val="tx1"/>
                  </w14:solidFill>
                </w14:textFill>
              </w:rPr>
              <w:t>顾客反馈信息的利用上不够，需要改善。近年来未发生重大顾客投诉和产品质量事故。顾客满意度调查按规定实施，20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月实施，满意度评价</w:t>
            </w:r>
            <w:r>
              <w:rPr>
                <w:rFonts w:hint="eastAsia" w:ascii="宋体" w:hAnsi="宋体" w:cs="宋体"/>
                <w:color w:val="000000" w:themeColor="text1"/>
                <w:szCs w:val="21"/>
                <w:lang w:val="en-US" w:eastAsia="zh-CN"/>
                <w14:textFill>
                  <w14:solidFill>
                    <w14:schemeClr w14:val="tx1"/>
                  </w14:solidFill>
                </w14:textFill>
              </w:rPr>
              <w:t>91分</w:t>
            </w:r>
            <w:r>
              <w:rPr>
                <w:rFonts w:hint="eastAsia" w:ascii="宋体" w:hAnsi="宋体" w:cs="宋体"/>
                <w:color w:val="000000" w:themeColor="text1"/>
                <w:szCs w:val="21"/>
                <w14:textFill>
                  <w14:solidFill>
                    <w14:schemeClr w14:val="tx1"/>
                  </w14:solidFill>
                </w14:textFill>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ascii="宋体" w:hAnsi="宋体" w:cs="宋体"/>
                <w:szCs w:val="21"/>
                <w:lang w:eastAsia="zh-CN"/>
              </w:rPr>
              <w:t>：</w:t>
            </w:r>
            <w:r>
              <w:rPr>
                <w:rFonts w:hint="eastAsia"/>
                <w:sz w:val="21"/>
                <w:szCs w:val="21"/>
                <w:lang w:eastAsia="zh-CN"/>
              </w:rPr>
              <w:t>2020年</w:t>
            </w:r>
            <w:r>
              <w:rPr>
                <w:rFonts w:hint="eastAsia"/>
                <w:sz w:val="21"/>
                <w:szCs w:val="21"/>
                <w:lang w:val="en-US" w:eastAsia="zh-CN"/>
              </w:rPr>
              <w:t>09</w:t>
            </w:r>
            <w:r>
              <w:rPr>
                <w:rFonts w:hint="eastAsia"/>
                <w:sz w:val="21"/>
                <w:szCs w:val="21"/>
                <w:lang w:eastAsia="zh-CN"/>
              </w:rPr>
              <w:t>月</w:t>
            </w:r>
            <w:r>
              <w:rPr>
                <w:rFonts w:hint="eastAsia"/>
                <w:sz w:val="21"/>
                <w:szCs w:val="21"/>
                <w:lang w:val="en-US" w:eastAsia="zh-CN"/>
              </w:rPr>
              <w:t>02</w:t>
            </w:r>
            <w:r>
              <w:rPr>
                <w:rFonts w:hint="eastAsia"/>
                <w:sz w:val="21"/>
                <w:szCs w:val="21"/>
                <w:lang w:eastAsia="zh-CN"/>
              </w:rPr>
              <w:t>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highlight w:val="none"/>
                <w:lang w:eastAsia="zh-CN"/>
              </w:rPr>
              <w:t>涉及业务部</w:t>
            </w:r>
            <w:r>
              <w:rPr>
                <w:rFonts w:hint="eastAsia"/>
                <w:sz w:val="21"/>
                <w:szCs w:val="21"/>
                <w:highlight w:val="none"/>
                <w:lang w:val="en-US" w:eastAsia="zh-CN"/>
              </w:rPr>
              <w:t>9.1.3</w:t>
            </w:r>
            <w:r>
              <w:rPr>
                <w:rFonts w:hint="eastAsia"/>
                <w:sz w:val="21"/>
                <w:szCs w:val="21"/>
                <w:highlight w:val="none"/>
                <w:lang w:eastAsia="zh-CN"/>
              </w:rPr>
              <w:t>条款不符合事实描述“</w:t>
            </w:r>
            <w:r>
              <w:rPr>
                <w:rFonts w:hint="eastAsia"/>
                <w:sz w:val="21"/>
                <w:szCs w:val="21"/>
                <w:highlight w:val="none"/>
                <w:lang w:val="zh-CN" w:eastAsia="zh-CN"/>
              </w:rPr>
              <w:t>不能提供</w:t>
            </w:r>
            <w:r>
              <w:rPr>
                <w:rFonts w:hint="eastAsia"/>
                <w:sz w:val="21"/>
                <w:szCs w:val="21"/>
                <w:highlight w:val="none"/>
                <w:lang w:val="en-US" w:eastAsia="zh-CN"/>
              </w:rPr>
              <w:t>满意度调查后的客户满意度调查分析报告</w:t>
            </w:r>
            <w:r>
              <w:rPr>
                <w:rFonts w:hint="eastAsia"/>
                <w:sz w:val="21"/>
                <w:szCs w:val="21"/>
                <w:highlight w:val="none"/>
                <w:lang w:eastAsia="zh-CN"/>
              </w:rPr>
              <w:t>。”</w:t>
            </w:r>
            <w:r>
              <w:rPr>
                <w:rFonts w:hint="eastAsia" w:ascii="宋体" w:hAnsi="宋体" w:cs="宋体"/>
                <w:szCs w:val="21"/>
              </w:rPr>
              <w:t>针对</w:t>
            </w:r>
            <w:r>
              <w:rPr>
                <w:rFonts w:hint="eastAsia" w:ascii="宋体" w:hAnsi="宋体" w:cs="宋体"/>
                <w:szCs w:val="21"/>
                <w:lang w:val="en-US" w:eastAsia="zh-CN"/>
              </w:rPr>
              <w:t>以上</w:t>
            </w:r>
            <w:r>
              <w:rPr>
                <w:rFonts w:hint="eastAsia" w:ascii="宋体" w:hAnsi="宋体" w:cs="宋体"/>
                <w:szCs w:val="21"/>
              </w:rPr>
              <w:t>不符合项，已及</w:t>
            </w:r>
            <w:r>
              <w:rPr>
                <w:rFonts w:hint="eastAsia"/>
                <w:szCs w:val="21"/>
              </w:rPr>
              <w:t>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2020年</w:t>
            </w:r>
            <w:r>
              <w:rPr>
                <w:rFonts w:hint="eastAsia" w:ascii="宋体" w:hAnsi="宋体"/>
                <w:kern w:val="0"/>
                <w:sz w:val="21"/>
                <w:szCs w:val="21"/>
                <w:lang w:val="en-US" w:eastAsia="zh-CN"/>
              </w:rPr>
              <w:t>9</w:t>
            </w:r>
            <w:r>
              <w:rPr>
                <w:rFonts w:hint="eastAsia" w:ascii="宋体" w:hAnsi="宋体"/>
                <w:kern w:val="0"/>
                <w:sz w:val="21"/>
                <w:szCs w:val="21"/>
                <w:lang w:eastAsia="zh-CN"/>
              </w:rPr>
              <w:t>月</w:t>
            </w:r>
            <w:r>
              <w:rPr>
                <w:rFonts w:hint="eastAsia" w:ascii="宋体" w:hAnsi="宋体"/>
                <w:kern w:val="0"/>
                <w:sz w:val="21"/>
                <w:szCs w:val="21"/>
                <w:lang w:val="en-US" w:eastAsia="zh-CN"/>
              </w:rPr>
              <w:t>22</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rPr>
            </w:pPr>
            <w:r>
              <w:rPr>
                <w:rFonts w:hint="eastAsia"/>
                <w:b/>
                <w:color w:val="000000" w:themeColor="text1"/>
                <w:spacing w:val="-20"/>
                <w:sz w:val="20"/>
                <w:szCs w:val="20"/>
              </w:rPr>
              <w:t>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14:textFill>
            <w14:solidFill>
              <w14:schemeClr w14:val="tx1"/>
            </w14:solidFill>
          </w14:textFill>
        </w:rPr>
      </w:pPr>
      <w:bookmarkStart w:id="22" w:name="_GoBack"/>
      <w:r>
        <w:rPr>
          <w:rFonts w:hint="eastAsia"/>
          <w:b/>
          <w:color w:val="000000" w:themeColor="text1"/>
          <w14:textFill>
            <w14:solidFill>
              <w14:schemeClr w14:val="tx1"/>
            </w14:solidFill>
          </w14:textFill>
        </w:rPr>
        <w:t>1. 本次审核共开具不符合项报告</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14:textFill>
            <w14:solidFill>
              <w14:schemeClr w14:val="tx1"/>
            </w14:solidFill>
          </w14:textFill>
        </w:rPr>
        <w:t>严重不符合</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项，一般不符合</w:t>
      </w:r>
      <w:r>
        <w:rPr>
          <w:rFonts w:hint="eastAsia"/>
          <w:b/>
          <w:color w:val="000000" w:themeColor="text1"/>
          <w:lang w:val="en-US" w:eastAsia="zh-CN"/>
          <w14:textFill>
            <w14:solidFill>
              <w14:schemeClr w14:val="tx1"/>
            </w14:solidFill>
          </w14:textFill>
        </w:rPr>
        <w:t>1</w:t>
      </w:r>
      <w:r>
        <w:rPr>
          <w:rFonts w:hint="eastAsia"/>
          <w:b/>
          <w:color w:val="000000" w:themeColor="text1"/>
          <w14:textFill>
            <w14:solidFill>
              <w14:schemeClr w14:val="tx1"/>
            </w14:solidFill>
          </w14:textFill>
        </w:rPr>
        <w:t>项，观察</w:t>
      </w:r>
      <w:r>
        <w:rPr>
          <w:rFonts w:hint="eastAsia"/>
          <w:b/>
          <w:color w:val="000000" w:themeColor="text1"/>
          <w:lang w:val="en-US" w:eastAsia="zh-CN"/>
          <w14:textFill>
            <w14:solidFill>
              <w14:schemeClr w14:val="tx1"/>
            </w14:solidFill>
          </w14:textFill>
        </w:rPr>
        <w:t>0</w:t>
      </w:r>
      <w:r>
        <w:rPr>
          <w:rFonts w:hint="eastAsia"/>
          <w:b/>
          <w:color w:val="000000" w:themeColor="text1"/>
          <w14:textFill>
            <w14:solidFill>
              <w14:schemeClr w14:val="tx1"/>
            </w14:solidFill>
          </w14:textFill>
        </w:rPr>
        <w:t>项</w:t>
      </w:r>
      <w:r>
        <w:rPr>
          <w:rFonts w:hint="eastAsia"/>
          <w:b/>
          <w:color w:val="000000" w:themeColor="text1"/>
          <w:lang w:val="en-US" w:eastAsia="zh-CN"/>
          <w14:textFill>
            <w14:solidFill>
              <w14:schemeClr w14:val="tx1"/>
            </w14:solidFill>
          </w14:textFill>
        </w:rPr>
        <w:t>.</w:t>
      </w:r>
      <w:r>
        <w:rPr>
          <w:rFonts w:hint="eastAsia"/>
          <w:b/>
          <w:color w:val="000000" w:themeColor="text1"/>
          <w14:textFill>
            <w14:solidFill>
              <w14:schemeClr w14:val="tx1"/>
            </w14:solidFill>
          </w14:textFill>
        </w:rPr>
        <w:t>分布在</w:t>
      </w:r>
      <w:r>
        <w:rPr>
          <w:rFonts w:hint="eastAsia"/>
          <w:b/>
          <w:color w:val="000000" w:themeColor="text1"/>
          <w:lang w:val="en-US" w:eastAsia="zh-CN"/>
          <w14:textFill>
            <w14:solidFill>
              <w14:schemeClr w14:val="tx1"/>
            </w14:solidFill>
          </w14:textFill>
        </w:rPr>
        <w:t>综合部</w:t>
      </w:r>
      <w:r>
        <w:rPr>
          <w:rFonts w:hint="eastAsia"/>
          <w:b/>
          <w:color w:val="000000" w:themeColor="text1"/>
          <w14:textFill>
            <w14:solidFill>
              <w14:schemeClr w14:val="tx1"/>
            </w14:solidFill>
          </w14:textFill>
        </w:rPr>
        <w:t>部门</w:t>
      </w:r>
      <w:r>
        <w:rPr>
          <w:rFonts w:hint="eastAsia"/>
          <w:b/>
          <w:color w:val="000000" w:themeColor="text1"/>
          <w:lang w:val="en-US" w:eastAsia="zh-CN"/>
          <w14:textFill>
            <w14:solidFill>
              <w14:schemeClr w14:val="tx1"/>
            </w14:solidFill>
          </w14:textFill>
        </w:rPr>
        <w:t>7.2</w:t>
      </w:r>
      <w:r>
        <w:rPr>
          <w:rFonts w:hint="eastAsia"/>
          <w:b/>
          <w:color w:val="000000" w:themeColor="text1"/>
          <w14:textFill>
            <w14:solidFill>
              <w14:schemeClr w14:val="tx1"/>
            </w14:solidFill>
          </w14:textFill>
        </w:rPr>
        <w:t>条款，分布见附件。（Q/J/E/S分开填写）</w:t>
      </w:r>
    </w:p>
    <w:bookmarkEnd w:id="22"/>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color w:val="000000" w:themeColor="text1"/>
                <w:szCs w:val="21"/>
                <w:lang w:eastAsia="zh-CN"/>
              </w:rPr>
              <w:t>塑料制品（不含农膜）、装饰材料（不含危险化学品）、金属材料（不含稀贵金属）的销售</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13</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default" w:eastAsia="宋体"/>
          <w:b/>
          <w:color w:val="000000" w:themeColor="text1"/>
          <w:szCs w:val="21"/>
          <w:lang w:val="en-US" w:eastAsia="zh-CN"/>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r>
        <w:rPr>
          <w:rFonts w:hint="eastAsia"/>
          <w:b/>
          <w:color w:val="000000" w:themeColor="text1"/>
          <w:szCs w:val="21"/>
          <w:lang w:val="en-US" w:eastAsia="zh-CN"/>
        </w:rPr>
        <w:t xml:space="preserve">  </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950501"/>
    <w:rsid w:val="1BCA2BE4"/>
    <w:rsid w:val="2BD505D5"/>
    <w:rsid w:val="3EB20BA5"/>
    <w:rsid w:val="460A68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6"/>
    <w:uiPriority w:val="99"/>
    <w:rPr>
      <w:rFonts w:ascii="Times New Roman" w:hAnsi="Times New Roman" w:eastAsia="宋体" w:cs="Times New Roman"/>
      <w:sz w:val="18"/>
      <w:szCs w:val="18"/>
    </w:rPr>
  </w:style>
  <w:style w:type="character" w:customStyle="1" w:styleId="15">
    <w:name w:val="页脚 Char"/>
    <w:basedOn w:val="10"/>
    <w:link w:val="5"/>
    <w:qFormat/>
    <w:uiPriority w:val="99"/>
    <w:rPr>
      <w:rFonts w:ascii="Times New Roman" w:hAnsi="Times New Roman" w:eastAsia="宋体" w:cs="Times New Roman"/>
      <w:sz w:val="18"/>
      <w:szCs w:val="18"/>
    </w:rPr>
  </w:style>
  <w:style w:type="character" w:customStyle="1" w:styleId="16">
    <w:name w:val="批注框文本 Char"/>
    <w:basedOn w:val="10"/>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character" w:customStyle="1" w:styleId="19">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2020-10-13T06:10:04Z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