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宋体" w:hAnsi="宋体"/>
          <w:sz w:val="32"/>
          <w:u w:val="single"/>
          <w:lang w:val="en-US" w:eastAsia="zh-CN"/>
        </w:rPr>
        <w:t xml:space="preserve"> 大庆市丛宇环保科技有限公司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0145-2019-2020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145-</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9-</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szCs w:val="21"/>
                <w:lang w:val="en-US" w:eastAsia="zh-CN"/>
              </w:rPr>
              <w:t>大庆市丛宇环保科技有限公司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刘崇宇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ISC-2019-0500</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2024.9.24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第1次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eastAsia="宋体"/>
                <w:sz w:val="18"/>
                <w:szCs w:val="18"/>
                <w:lang w:val="en-US" w:eastAsia="zh-CN"/>
              </w:rPr>
            </w:pPr>
            <w:r>
              <w:rPr>
                <w:rFonts w:hint="eastAsia" w:eastAsia="宋体"/>
                <w:sz w:val="18"/>
                <w:szCs w:val="18"/>
                <w:lang w:val="en-US" w:eastAsia="zh-CN"/>
              </w:rPr>
              <w:t>管理层/质检部/生产技术部（生产车间）</w:t>
            </w:r>
          </w:p>
          <w:p>
            <w:pPr>
              <w:jc w:val="center"/>
              <w:rPr>
                <w:rFonts w:hint="eastAsia" w:cs="宋体" w:asciiTheme="minorEastAsia" w:hAnsiTheme="minorEastAsia" w:eastAsiaTheme="minorEastAsia"/>
                <w:kern w:val="0"/>
                <w:szCs w:val="21"/>
                <w:lang w:val="en-US" w:eastAsia="zh-CN"/>
              </w:rPr>
            </w:pPr>
            <w:r>
              <w:rPr>
                <w:rFonts w:hint="eastAsia" w:eastAsia="宋体"/>
                <w:sz w:val="18"/>
                <w:szCs w:val="18"/>
                <w:lang w:val="en-US" w:eastAsia="zh-CN"/>
              </w:rPr>
              <w:t>综合部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 w:val="24"/>
          <w:szCs w:val="24"/>
          <w:lang w:eastAsia="zh-CN"/>
        </w:rPr>
        <w:t>大庆市丛宇环保科技</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3</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cs="宋体"/>
          <w:kern w:val="0"/>
          <w:sz w:val="24"/>
          <w:szCs w:val="24"/>
          <w:lang w:val="en-US" w:eastAsia="zh-CN"/>
        </w:rPr>
        <w:t>；大庆市丛宇环保科技有限公司测量管理体系的符合性、有效性及持续改进，符合GB/T 19022-2003标准</w:t>
      </w:r>
      <w:r>
        <w:rPr>
          <w:rFonts w:hint="eastAsia" w:ascii="宋体" w:hAnsi="宋体"/>
          <w:bCs/>
          <w:sz w:val="24"/>
          <w:szCs w:val="24"/>
          <w:lang w:val="en-US" w:eastAsia="zh-CN"/>
        </w:rPr>
        <w:t>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w:t>
      </w:r>
      <w:r>
        <w:rPr>
          <w:rFonts w:hint="eastAsia" w:cs="宋体" w:asciiTheme="minorEastAsia" w:hAnsiTheme="minorEastAsia"/>
          <w:bCs/>
          <w:kern w:val="0"/>
          <w:sz w:val="24"/>
          <w:szCs w:val="24"/>
          <w:shd w:val="clear" w:color="auto" w:fill="auto"/>
        </w:rPr>
        <w:t>20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7</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15</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3</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default" w:ascii="宋体" w:hAnsi="宋体" w:cs="黑体" w:eastAsiaTheme="minorEastAsia"/>
          <w:sz w:val="24"/>
          <w:szCs w:val="24"/>
          <w:lang w:val="en-US" w:eastAsia="zh-CN"/>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w:t>
      </w:r>
      <w:r>
        <w:rPr>
          <w:rFonts w:hint="eastAsia" w:cs="宋体" w:asciiTheme="minorEastAsia" w:hAnsiTheme="minorEastAsia"/>
          <w:bCs/>
          <w:kern w:val="0"/>
          <w:sz w:val="24"/>
          <w:szCs w:val="24"/>
          <w:shd w:val="clear" w:color="auto" w:fill="auto"/>
        </w:rPr>
        <w:t>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8</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10</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shd w:val="clear" w:color="auto" w:fill="auto"/>
          <w:lang w:val="en-US" w:eastAsia="zh-CN"/>
        </w:rPr>
        <w:t>进</w:t>
      </w:r>
      <w:r>
        <w:rPr>
          <w:rFonts w:hint="eastAsia" w:cs="宋体" w:asciiTheme="minorEastAsia" w:hAnsiTheme="minorEastAsia"/>
          <w:bCs/>
          <w:kern w:val="0"/>
          <w:sz w:val="24"/>
          <w:szCs w:val="24"/>
          <w:lang w:val="en-US" w:eastAsia="zh-CN"/>
        </w:rPr>
        <w:t>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w:t>
      </w:r>
      <w:r>
        <w:rPr>
          <w:rFonts w:hint="eastAsia" w:ascii="宋体" w:hAnsi="宋体" w:eastAsia="宋体" w:cs="宋体"/>
          <w:kern w:val="0"/>
          <w:szCs w:val="21"/>
          <w:lang w:val="en-US" w:eastAsia="zh-CN"/>
        </w:rPr>
        <w:t>刘崇宇</w:t>
      </w:r>
      <w:r>
        <w:rPr>
          <w:rFonts w:hint="eastAsia" w:ascii="宋体" w:hAnsi="宋体" w:cs="黑体"/>
          <w:sz w:val="24"/>
          <w:szCs w:val="24"/>
          <w:lang w:val="en-US" w:eastAsia="zh-CN"/>
        </w:rPr>
        <w:t>主</w:t>
      </w:r>
      <w:r>
        <w:rPr>
          <w:rFonts w:hint="eastAsia" w:ascii="宋体" w:hAnsi="宋体" w:cs="黑体"/>
          <w:sz w:val="24"/>
          <w:szCs w:val="24"/>
        </w:rPr>
        <w:t>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w:t>
      </w:r>
      <w:r>
        <w:rPr>
          <w:rFonts w:hint="eastAsia" w:ascii="宋体" w:hAnsi="宋体" w:cs="黑体"/>
          <w:sz w:val="24"/>
          <w:szCs w:val="24"/>
          <w:lang w:val="en-US" w:eastAsia="zh-CN"/>
        </w:rPr>
        <w:t>计量器具、检验记录的管理上的薄弱环节，提出规范产品检验，检测记录加强记录器具的管理，做好人员培训工作</w:t>
      </w:r>
      <w:r>
        <w:rPr>
          <w:rFonts w:hint="eastAsia" w:ascii="宋体" w:hAnsi="宋体" w:cs="黑体"/>
          <w:sz w:val="24"/>
          <w:szCs w:val="24"/>
        </w:rPr>
        <w:t>问题</w:t>
      </w:r>
      <w:r>
        <w:rPr>
          <w:rFonts w:hint="eastAsia" w:ascii="宋体" w:hAnsi="宋体" w:cs="黑体"/>
          <w:sz w:val="24"/>
          <w:szCs w:val="24"/>
          <w:lang w:eastAsia="zh-CN"/>
        </w:rPr>
        <w:t>，</w:t>
      </w:r>
      <w:r>
        <w:rPr>
          <w:rFonts w:hint="eastAsia" w:ascii="宋体" w:hAnsi="宋体" w:cs="黑体"/>
          <w:sz w:val="24"/>
          <w:szCs w:val="24"/>
        </w:rPr>
        <w:t>落实了整改部门。</w:t>
      </w:r>
      <w:r>
        <w:rPr>
          <w:rFonts w:hint="eastAsia" w:ascii="宋体" w:hAnsi="宋体" w:cs="黑体"/>
          <w:sz w:val="24"/>
          <w:szCs w:val="24"/>
          <w:lang w:val="en-US" w:eastAsia="zh-CN"/>
        </w:rPr>
        <w:t>管理评审结论为：公司测量管理体系基本有效运行，符合GB/T 19022-2003标准要求。</w:t>
      </w:r>
    </w:p>
    <w:p>
      <w:pPr>
        <w:numPr>
          <w:ilvl w:val="0"/>
          <w:numId w:val="0"/>
        </w:numPr>
        <w:snapToGrid w:val="0"/>
        <w:spacing w:line="360" w:lineRule="auto"/>
        <w:ind w:leftChars="0" w:right="-512" w:rightChars="-244"/>
        <w:rPr>
          <w:rFonts w:hint="eastAsia"/>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，包括：</w:t>
      </w:r>
    </w:p>
    <w:p>
      <w:pPr>
        <w:numPr>
          <w:ilvl w:val="0"/>
          <w:numId w:val="0"/>
        </w:numPr>
        <w:snapToGrid w:val="0"/>
        <w:spacing w:line="360" w:lineRule="auto"/>
        <w:ind w:leftChars="0" w:right="-512" w:rightChars="-244"/>
        <w:rPr>
          <w:rFonts w:hint="eastAsia" w:ascii="宋体" w:hAnsi="宋体" w:cs="黑体"/>
          <w:sz w:val="24"/>
          <w:szCs w:val="24"/>
          <w:shd w:val="clear" w:color="auto" w:fill="auto"/>
          <w:lang w:eastAsia="zh-CN"/>
        </w:rPr>
      </w:pPr>
      <w:r>
        <w:rPr>
          <w:rFonts w:hint="eastAsia"/>
          <w:sz w:val="24"/>
          <w:szCs w:val="24"/>
          <w:lang w:val="en-US" w:eastAsia="zh-CN"/>
        </w:rPr>
        <w:t>4.1企业对已识别的</w:t>
      </w:r>
      <w:r>
        <w:rPr>
          <w:rFonts w:hint="eastAsia"/>
          <w:sz w:val="24"/>
          <w:szCs w:val="24"/>
          <w:shd w:val="clear" w:color="auto" w:fill="auto"/>
          <w:lang w:val="en-US" w:eastAsia="zh-CN"/>
        </w:rPr>
        <w:t>干式过滤器水压密封试验</w:t>
      </w:r>
      <w:r>
        <w:rPr>
          <w:rFonts w:hint="eastAsia"/>
          <w:sz w:val="24"/>
          <w:szCs w:val="24"/>
          <w:lang w:val="en-US" w:eastAsia="zh-CN"/>
        </w:rPr>
        <w:t>测量过程，按测量过程控制规范，进行了有效性监视。记录、监视控制图齐全，完整；</w:t>
      </w:r>
      <w:r>
        <w:rPr>
          <w:rFonts w:hint="eastAsia" w:ascii="宋体" w:hAnsi="宋体" w:cs="黑体"/>
          <w:sz w:val="24"/>
          <w:szCs w:val="24"/>
          <w:shd w:val="clear" w:color="auto" w:fill="auto"/>
        </w:rPr>
        <w:t>现场重点抽查了</w:t>
      </w:r>
      <w:r>
        <w:rPr>
          <w:rFonts w:hint="eastAsia" w:ascii="宋体" w:hAnsi="宋体" w:cs="黑体"/>
          <w:sz w:val="24"/>
          <w:szCs w:val="24"/>
          <w:shd w:val="clear" w:color="auto" w:fill="auto"/>
          <w:lang w:val="en-US" w:eastAsia="zh-CN"/>
        </w:rPr>
        <w:t>干式过滤器水压密封试验</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p>
    <w:p>
      <w:pPr>
        <w:numPr>
          <w:ilvl w:val="0"/>
          <w:numId w:val="0"/>
        </w:numPr>
        <w:snapToGrid w:val="0"/>
        <w:spacing w:line="360" w:lineRule="auto"/>
        <w:ind w:leftChars="0" w:right="-512" w:rightChars="-244"/>
        <w:rPr>
          <w:rFonts w:hint="eastAsia"/>
          <w:sz w:val="24"/>
          <w:szCs w:val="24"/>
          <w:lang w:val="en-US" w:eastAsia="zh-CN"/>
        </w:rPr>
      </w:pPr>
      <w:r>
        <w:rPr>
          <w:rFonts w:hint="eastAsia" w:ascii="宋体" w:hAnsi="宋体" w:cs="黑体"/>
          <w:sz w:val="24"/>
          <w:szCs w:val="24"/>
          <w:shd w:val="clear" w:color="auto" w:fill="auto"/>
          <w:lang w:val="en-US" w:eastAsia="zh-CN"/>
        </w:rPr>
        <w:t>4.2检查了企业测量设备《计量确认明细表》，对8台件的测量设备进行了计量确认和验证，全部在有效期内，验证结果均为合格。关键测量过程</w:t>
      </w:r>
      <w:r>
        <w:rPr>
          <w:rFonts w:hint="eastAsia"/>
          <w:sz w:val="24"/>
          <w:szCs w:val="24"/>
          <w:lang w:val="en-US" w:eastAsia="zh-CN"/>
        </w:rPr>
        <w:t>干式过滤器水压密封试验测量过程，计量性能测试，监视记录，监视控制图，均已按测量过程控制规范，进行了有效性监视和记录统计。</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4.3企业未增加新的测量过程，查看了原关键测量干式过滤器水压密封试验过程，计量要求导出方法基本正确，测量设备的配备满足计量要求，测量设备经过检定校准，测量设备验证方法正确。</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4.4查《干式过滤器水压密封试验测量过程不确定度评定》，方法和结果正确。</w:t>
      </w:r>
    </w:p>
    <w:p>
      <w:pPr>
        <w:numPr>
          <w:ilvl w:val="0"/>
          <w:numId w:val="0"/>
        </w:numPr>
        <w:snapToGrid w:val="0"/>
        <w:spacing w:line="360" w:lineRule="auto"/>
        <w:ind w:leftChars="0" w:right="-512" w:rightChars="-244"/>
        <w:rPr>
          <w:rFonts w:hint="default" w:eastAsiaTheme="minorEastAsia"/>
          <w:sz w:val="24"/>
          <w:szCs w:val="24"/>
          <w:shd w:val="clear" w:color="auto" w:fill="auto"/>
          <w:lang w:val="en-US" w:eastAsia="zh-CN"/>
        </w:rPr>
      </w:pPr>
      <w:r>
        <w:rPr>
          <w:rFonts w:hint="eastAsia"/>
          <w:sz w:val="24"/>
          <w:szCs w:val="24"/>
          <w:lang w:val="en-US" w:eastAsia="zh-CN"/>
        </w:rPr>
        <w:t>4.5查《干式过滤器水压密封试验测量过程计量要求导出和计量验证记录表》，信息内容完整，正确。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2019年初审</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审核时</w:t>
      </w:r>
      <w:r>
        <w:rPr>
          <w:rFonts w:hint="eastAsia" w:asciiTheme="minorEastAsia" w:hAnsiTheme="minorEastAsia"/>
          <w:bCs/>
          <w:sz w:val="24"/>
          <w:szCs w:val="24"/>
        </w:rPr>
        <w:t>及时制定整改计划，</w:t>
      </w:r>
      <w:r>
        <w:rPr>
          <w:rFonts w:hint="eastAsia" w:asciiTheme="minorEastAsia" w:hAnsiTheme="minorEastAsia"/>
          <w:bCs/>
          <w:sz w:val="24"/>
          <w:szCs w:val="24"/>
          <w:lang w:val="en-US" w:eastAsia="zh-CN"/>
        </w:rPr>
        <w:t>现场审核时已关闭，符合要求。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pacing w:line="36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8.对企业组织任何变更的审核 无</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keepNext w:val="0"/>
        <w:keepLines w:val="0"/>
        <w:widowControl/>
        <w:numPr>
          <w:ilvl w:val="0"/>
          <w:numId w:val="3"/>
        </w:numPr>
        <w:suppressLineNumbers w:val="0"/>
        <w:jc w:val="left"/>
        <w:rPr>
          <w:rFonts w:hint="eastAsia" w:ascii="宋体" w:hAnsi="宋体" w:eastAsia="宋体" w:cs="宋体"/>
          <w:kern w:val="0"/>
          <w:szCs w:val="21"/>
          <w:lang w:val="en-US" w:eastAsia="zh-CN"/>
        </w:rPr>
      </w:pPr>
      <w:r>
        <w:rPr>
          <w:rFonts w:hint="eastAsia" w:ascii="宋体" w:hAnsi="宋体"/>
          <w:sz w:val="24"/>
          <w:szCs w:val="24"/>
          <w:highlight w:val="none"/>
          <w:shd w:val="clear" w:color="auto" w:fill="auto"/>
        </w:rPr>
        <w:t xml:space="preserve">本次审核出具一般不符合项 </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shd w:val="clear" w:color="auto" w:fill="auto"/>
        </w:rPr>
        <w:t>，未发现严重或系统性的不符合情况。</w:t>
      </w:r>
    </w:p>
    <w:p>
      <w:pPr>
        <w:keepNext w:val="0"/>
        <w:keepLines w:val="0"/>
        <w:widowControl/>
        <w:numPr>
          <w:ilvl w:val="0"/>
          <w:numId w:val="0"/>
        </w:numPr>
        <w:suppressLineNumbers w:val="0"/>
        <w:ind w:firstLine="720" w:firstLineChars="300"/>
        <w:jc w:val="left"/>
        <w:rPr>
          <w:rFonts w:hint="eastAsia" w:ascii="宋体" w:hAnsi="宋体" w:eastAsia="宋体" w:cs="宋体"/>
          <w:kern w:val="0"/>
          <w:szCs w:val="21"/>
          <w:lang w:val="en-US" w:eastAsia="zh-CN"/>
        </w:rPr>
      </w:pPr>
      <w:r>
        <w:rPr>
          <w:rFonts w:hint="eastAsia" w:ascii="宋体" w:hAnsi="宋体"/>
          <w:sz w:val="24"/>
          <w:szCs w:val="24"/>
          <w:highlight w:val="none"/>
          <w:shd w:val="clear" w:color="auto" w:fill="auto"/>
          <w:lang w:val="en-US" w:eastAsia="zh-CN"/>
        </w:rPr>
        <w:t>在质检部没有将编号002381压力表0-60MPa纳入测量设备台账中进行管理，不符合</w:t>
      </w:r>
      <w:r>
        <w:rPr>
          <w:rFonts w:hint="eastAsia" w:ascii="宋体" w:hAnsi="宋体"/>
          <w:sz w:val="24"/>
          <w:szCs w:val="24"/>
          <w:highlight w:val="none"/>
          <w:shd w:val="clear" w:color="auto" w:fill="auto"/>
        </w:rPr>
        <w:t>___GB/T19022-2003标准</w:t>
      </w:r>
      <w:r>
        <w:rPr>
          <w:rFonts w:hint="eastAsia" w:ascii="宋体" w:hAnsi="宋体"/>
          <w:sz w:val="24"/>
          <w:szCs w:val="24"/>
          <w:highlight w:val="none"/>
          <w:shd w:val="clear" w:color="auto" w:fill="auto"/>
          <w:lang w:val="en-US" w:eastAsia="zh-CN"/>
        </w:rPr>
        <w:t>6.3.1测量设备</w:t>
      </w:r>
      <w:r>
        <w:rPr>
          <w:rFonts w:hint="eastAsia" w:ascii="宋体" w:hAnsi="宋体"/>
          <w:sz w:val="24"/>
          <w:szCs w:val="24"/>
          <w:highlight w:val="none"/>
          <w:shd w:val="clear" w:color="auto" w:fill="auto"/>
        </w:rPr>
        <w:t>。</w:t>
      </w:r>
      <w:r>
        <w:rPr>
          <w:rFonts w:hint="eastAsia" w:ascii="宋体" w:hAnsi="宋体"/>
          <w:sz w:val="24"/>
          <w:szCs w:val="24"/>
          <w:highlight w:val="none"/>
          <w:shd w:val="clear" w:color="auto" w:fill="auto"/>
          <w:lang w:eastAsia="zh-CN"/>
        </w:rPr>
        <w:t>（</w:t>
      </w:r>
      <w:r>
        <w:rPr>
          <w:rFonts w:hint="eastAsia" w:ascii="宋体" w:hAnsi="宋体"/>
          <w:sz w:val="24"/>
          <w:szCs w:val="24"/>
          <w:highlight w:val="none"/>
          <w:shd w:val="clear" w:color="auto" w:fill="auto"/>
          <w:lang w:val="en-US" w:eastAsia="zh-CN"/>
        </w:rPr>
        <w:t>用于监视和记录影响量 的测量管理体系内</w:t>
      </w:r>
      <w:r>
        <w:rPr>
          <w:rFonts w:hint="eastAsia" w:ascii="宋体" w:hAnsi="宋体"/>
          <w:sz w:val="24"/>
          <w:szCs w:val="24"/>
          <w:highlight w:val="none"/>
          <w:shd w:val="clear" w:color="auto" w:fill="auto"/>
          <w:lang w:eastAsia="zh-CN"/>
        </w:rPr>
        <w:t>）</w:t>
      </w:r>
      <w:r>
        <w:rPr>
          <w:rFonts w:hint="eastAsia" w:ascii="宋体" w:hAnsi="宋体"/>
          <w:sz w:val="24"/>
          <w:szCs w:val="24"/>
          <w:highlight w:val="none"/>
          <w:shd w:val="clear" w:color="auto" w:fill="auto"/>
          <w:lang w:val="en-US" w:eastAsia="zh-CN"/>
        </w:rPr>
        <w:t>不符合</w:t>
      </w:r>
      <w:r>
        <w:rPr>
          <w:rFonts w:hint="eastAsia" w:ascii="宋体" w:hAnsi="宋体"/>
          <w:lang w:val="en-US" w:eastAsia="zh-CN"/>
        </w:rPr>
        <w:t>要求。</w:t>
      </w:r>
    </w:p>
    <w:p>
      <w:pPr>
        <w:keepNext w:val="0"/>
        <w:keepLines w:val="0"/>
        <w:widowControl/>
        <w:suppressLineNumbers w:val="0"/>
        <w:jc w:val="left"/>
        <w:rPr>
          <w:rFonts w:hint="default" w:ascii="宋体" w:hAnsi="宋体"/>
          <w:sz w:val="24"/>
          <w:szCs w:val="24"/>
          <w:highlight w:val="none"/>
          <w:shd w:val="clear" w:color="FFFFFF" w:fill="D9D9D9"/>
          <w:lang w:val="en-US" w:eastAsia="zh-CN"/>
        </w:rPr>
      </w:pPr>
      <w:r>
        <w:rPr>
          <w:rFonts w:hint="eastAsia" w:ascii="宋体" w:hAnsi="宋体"/>
          <w:sz w:val="24"/>
          <w:szCs w:val="24"/>
          <w:highlight w:val="none"/>
          <w:shd w:val="clear" w:color="auto" w:fill="auto"/>
          <w:lang w:val="en-US" w:eastAsia="zh-CN"/>
        </w:rPr>
        <w:t>11.本企业为非重点用能单位，企业2019年9月至2020年9</w:t>
      </w:r>
      <w:bookmarkStart w:id="1" w:name="_GoBack"/>
      <w:bookmarkEnd w:id="1"/>
      <w:r>
        <w:rPr>
          <w:rFonts w:hint="eastAsia" w:ascii="宋体" w:hAnsi="宋体"/>
          <w:sz w:val="24"/>
          <w:szCs w:val="24"/>
          <w:highlight w:val="none"/>
          <w:shd w:val="clear" w:color="auto" w:fill="auto"/>
          <w:lang w:val="en-US" w:eastAsia="zh-CN"/>
        </w:rPr>
        <w:t>月耗能2.4吨标煤，企业的能源器具准确度等级2.0级的三相四线电能表和2.5级的水表，满足GB17167标准4.3.8表四的标准要求。</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left"/>
        <w:rPr>
          <w:rFonts w:hint="eastAsia" w:ascii="宋体" w:hAnsi="宋体"/>
          <w:sz w:val="24"/>
          <w:szCs w:val="24"/>
          <w:lang w:eastAsia="zh-CN"/>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10</w:t>
      </w:r>
      <w:r>
        <w:rPr>
          <w:rStyle w:val="11"/>
          <w:rFonts w:ascii="宋体" w:hAnsi="宋体" w:eastAsia="宋体"/>
          <w:sz w:val="24"/>
          <w:szCs w:val="24"/>
        </w:rPr>
        <w:t>月</w:t>
      </w:r>
      <w:r>
        <w:rPr>
          <w:rStyle w:val="11"/>
          <w:rFonts w:hint="eastAsia" w:ascii="宋体" w:hAnsi="宋体" w:eastAsia="宋体"/>
          <w:sz w:val="24"/>
          <w:szCs w:val="24"/>
          <w:lang w:val="en-US" w:eastAsia="zh-CN"/>
        </w:rPr>
        <w:t>15</w:t>
      </w:r>
      <w:r>
        <w:rPr>
          <w:rStyle w:val="11"/>
          <w:rFonts w:ascii="宋体" w:hAnsi="宋体" w:eastAsia="宋体"/>
          <w:sz w:val="24"/>
          <w:szCs w:val="24"/>
        </w:rPr>
        <w:t>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Style w:val="11"/>
          <w:rFonts w:hint="eastAsia" w:ascii="宋体" w:hAnsi="宋体" w:eastAsia="宋体"/>
          <w:sz w:val="24"/>
          <w:szCs w:val="24"/>
          <w:lang w:eastAsia="zh-CN"/>
        </w:rPr>
        <w:t>大庆市丛宇环保科技</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第1次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p>
    <w:p>
      <w:pPr>
        <w:spacing w:line="360" w:lineRule="auto"/>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shd w:val="clear" w:color="auto" w:fill="auto"/>
        </w:rPr>
        <w:t>综上所述，</w:t>
      </w:r>
      <w:r>
        <w:rPr>
          <w:rStyle w:val="11"/>
          <w:rFonts w:hint="eastAsia" w:ascii="宋体" w:hAnsi="宋体" w:eastAsia="宋体"/>
          <w:sz w:val="24"/>
          <w:szCs w:val="24"/>
        </w:rPr>
        <w:t>审核组认为</w:t>
      </w:r>
      <w:r>
        <w:rPr>
          <w:rStyle w:val="11"/>
          <w:rFonts w:hint="eastAsia" w:ascii="宋体" w:hAnsi="宋体" w:eastAsia="宋体"/>
          <w:sz w:val="24"/>
          <w:szCs w:val="24"/>
          <w:lang w:eastAsia="zh-CN"/>
        </w:rPr>
        <w:t>大庆市丛宇环保科技</w:t>
      </w:r>
      <w:r>
        <w:rPr>
          <w:rStyle w:val="11"/>
          <w:rFonts w:hint="eastAsia" w:ascii="宋体" w:hAnsi="宋体" w:eastAsia="宋体"/>
          <w:sz w:val="24"/>
          <w:szCs w:val="24"/>
        </w:rPr>
        <w:t>有限公司测</w:t>
      </w:r>
      <w:r>
        <w:rPr>
          <w:rFonts w:hint="eastAsia" w:ascii="宋体" w:hAnsi="宋体"/>
          <w:sz w:val="24"/>
          <w:szCs w:val="24"/>
        </w:rPr>
        <w:t>量管理体系，符合GB/T 19022-2003标准要求，对体系运行具有持续的有效性、符合性予以肯定。建议报请国标联合认证有限公司批准通过监督审核。</w:t>
      </w:r>
    </w:p>
    <w:p>
      <w:pPr>
        <w:spacing w:line="360" w:lineRule="auto"/>
        <w:ind w:firstLine="480"/>
        <w:jc w:val="lef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2020.10.15</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A0E59"/>
    <w:multiLevelType w:val="singleLevel"/>
    <w:tmpl w:val="AE2A0E59"/>
    <w:lvl w:ilvl="0" w:tentative="0">
      <w:start w:val="10"/>
      <w:numFmt w:val="decimal"/>
      <w:lvlText w:val="%1."/>
      <w:lvlJc w:val="left"/>
      <w:pPr>
        <w:tabs>
          <w:tab w:val="left" w:pos="312"/>
        </w:tabs>
      </w:pPr>
    </w:lvl>
  </w:abstractNum>
  <w:abstractNum w:abstractNumId="1">
    <w:nsid w:val="24933639"/>
    <w:multiLevelType w:val="singleLevel"/>
    <w:tmpl w:val="24933639"/>
    <w:lvl w:ilvl="0" w:tentative="0">
      <w:start w:val="2"/>
      <w:numFmt w:val="decimal"/>
      <w:lvlText w:val="%1."/>
      <w:lvlJc w:val="left"/>
      <w:pPr>
        <w:tabs>
          <w:tab w:val="left" w:pos="312"/>
        </w:tabs>
      </w:pPr>
    </w:lvl>
  </w:abstractNum>
  <w:abstractNum w:abstractNumId="2">
    <w:nsid w:val="6E048769"/>
    <w:multiLevelType w:val="singleLevel"/>
    <w:tmpl w:val="6E048769"/>
    <w:lvl w:ilvl="0" w:tentative="0">
      <w:start w:val="6"/>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8C5939"/>
    <w:rsid w:val="10160E7C"/>
    <w:rsid w:val="138501A6"/>
    <w:rsid w:val="14575BEE"/>
    <w:rsid w:val="14EA6CB3"/>
    <w:rsid w:val="17A323A1"/>
    <w:rsid w:val="18321399"/>
    <w:rsid w:val="1D5E1F47"/>
    <w:rsid w:val="1D9A2E7B"/>
    <w:rsid w:val="1DD97BCA"/>
    <w:rsid w:val="1E2774C7"/>
    <w:rsid w:val="23881FD2"/>
    <w:rsid w:val="246E16E9"/>
    <w:rsid w:val="267B10B4"/>
    <w:rsid w:val="27554591"/>
    <w:rsid w:val="28826509"/>
    <w:rsid w:val="2A55179D"/>
    <w:rsid w:val="2ACB2E5B"/>
    <w:rsid w:val="2BB2587D"/>
    <w:rsid w:val="308C462A"/>
    <w:rsid w:val="31DB01B3"/>
    <w:rsid w:val="321D6989"/>
    <w:rsid w:val="33165AEF"/>
    <w:rsid w:val="365A3F08"/>
    <w:rsid w:val="36C43AD4"/>
    <w:rsid w:val="37774C67"/>
    <w:rsid w:val="3B043B6A"/>
    <w:rsid w:val="3BB67694"/>
    <w:rsid w:val="3C9F7C5C"/>
    <w:rsid w:val="3EBB7FAC"/>
    <w:rsid w:val="3EC25B56"/>
    <w:rsid w:val="4024179D"/>
    <w:rsid w:val="41300BAF"/>
    <w:rsid w:val="41D90F13"/>
    <w:rsid w:val="458C7BB0"/>
    <w:rsid w:val="49C14E74"/>
    <w:rsid w:val="4A8A2F7C"/>
    <w:rsid w:val="4B005FF0"/>
    <w:rsid w:val="4F757019"/>
    <w:rsid w:val="4FF60B62"/>
    <w:rsid w:val="51C16409"/>
    <w:rsid w:val="547533AA"/>
    <w:rsid w:val="557F1C85"/>
    <w:rsid w:val="55C92FC9"/>
    <w:rsid w:val="56896C6B"/>
    <w:rsid w:val="58082CF0"/>
    <w:rsid w:val="5896057E"/>
    <w:rsid w:val="5B3A2D99"/>
    <w:rsid w:val="5BA410AD"/>
    <w:rsid w:val="5C2C0776"/>
    <w:rsid w:val="5F1C7C1A"/>
    <w:rsid w:val="5FB81639"/>
    <w:rsid w:val="5FCA3BA5"/>
    <w:rsid w:val="61854963"/>
    <w:rsid w:val="61A667FC"/>
    <w:rsid w:val="61EA6C4C"/>
    <w:rsid w:val="67D506DB"/>
    <w:rsid w:val="693568F0"/>
    <w:rsid w:val="707F0D4F"/>
    <w:rsid w:val="74832446"/>
    <w:rsid w:val="74BF4AAE"/>
    <w:rsid w:val="78D47F5B"/>
    <w:rsid w:val="7AAE132C"/>
    <w:rsid w:val="7BAC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75</TotalTime>
  <ScaleCrop>false</ScaleCrop>
  <LinksUpToDate>false</LinksUpToDate>
  <CharactersWithSpaces>748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2020-10-15T06:18:52Z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