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曲晓莉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2020-N1QMS-3042801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2019-N1EMS-3042801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2018-N1OHSMS-2042801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Q:35.16.01,35.16.02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E:35.16.01,35.16.02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O:35.16.01,35.16.02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ISC[S]0213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北京鑫三源世纪清洗有限公司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北京市怀柔区乐园西大街16号院13号楼1至2层13-1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101400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北京市怀柔区乐园西大街16号院13号楼1至2层13-1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101400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北京市大兴区旧宫镇富力盛悦居20号楼1807室 ；北京市西城区菜市口大街一号院一号楼福地大厦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100076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路好颖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010-56407607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路越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路好颖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2020年10月09日 上午至2020年10月12日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Q：35.16.01;35.16.02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E：35.16.01;35.16.02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O：35.16.01;35.16.02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