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4" w:name="_GoBack"/>
      <w:bookmarkEnd w:id="4"/>
      <w:r>
        <w:rPr>
          <w:rFonts w:hint="eastAsia"/>
          <w:b/>
          <w:sz w:val="22"/>
          <w:szCs w:val="22"/>
          <w:lang w:eastAsia="zh-CN"/>
        </w:rPr>
        <w:t>☑</w:t>
      </w:r>
      <w:r>
        <w:rPr>
          <w:b/>
          <w:sz w:val="22"/>
          <w:szCs w:val="22"/>
        </w:rPr>
        <w:t xml:space="preserve">QMS  </w:t>
      </w:r>
      <w:bookmarkStart w:id="0" w:name="E勾选"/>
      <w:r>
        <w:rPr>
          <w:rFonts w:hint="eastAsia"/>
          <w:b/>
          <w:sz w:val="22"/>
          <w:szCs w:val="22"/>
        </w:rPr>
        <w:t>■</w:t>
      </w:r>
      <w:bookmarkEnd w:id="0"/>
      <w:r>
        <w:rPr>
          <w:b/>
          <w:sz w:val="22"/>
          <w:szCs w:val="22"/>
        </w:rPr>
        <w:t xml:space="preserve">EMS  </w:t>
      </w:r>
      <w:bookmarkStart w:id="1" w:name="S勾选"/>
      <w:r>
        <w:rPr>
          <w:rFonts w:hint="eastAsia"/>
          <w:b/>
          <w:sz w:val="22"/>
          <w:szCs w:val="22"/>
        </w:rPr>
        <w:t>■</w:t>
      </w:r>
      <w:bookmarkEnd w:id="1"/>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8"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2" w:name="组织名称"/>
            <w:r>
              <w:rPr>
                <w:b/>
                <w:sz w:val="20"/>
              </w:rPr>
              <w:t>北京京安先锋科技有限公司</w:t>
            </w:r>
            <w:bookmarkEnd w:id="2"/>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rPr>
                <w:rFonts w:hint="eastAsia"/>
                <w:b/>
                <w:szCs w:val="21"/>
              </w:rPr>
            </w:pPr>
            <w:bookmarkStart w:id="3" w:name="专业代码"/>
            <w:r>
              <w:rPr>
                <w:rFonts w:hint="eastAsia"/>
                <w:b/>
                <w:szCs w:val="21"/>
              </w:rPr>
              <w:t>Q：29.12.00</w:t>
            </w:r>
          </w:p>
          <w:p>
            <w:pPr>
              <w:rPr>
                <w:rFonts w:hint="eastAsia"/>
                <w:b/>
                <w:szCs w:val="21"/>
              </w:rPr>
            </w:pPr>
            <w:r>
              <w:rPr>
                <w:rFonts w:hint="eastAsia"/>
                <w:b/>
                <w:szCs w:val="21"/>
              </w:rPr>
              <w:t>E：29.12.00;34.05.00</w:t>
            </w:r>
          </w:p>
          <w:p>
            <w:pPr>
              <w:snapToGrid w:val="0"/>
              <w:spacing w:line="280" w:lineRule="exact"/>
              <w:ind w:left="52"/>
              <w:jc w:val="center"/>
              <w:rPr>
                <w:b/>
                <w:sz w:val="20"/>
              </w:rPr>
            </w:pPr>
            <w:r>
              <w:rPr>
                <w:rFonts w:hint="eastAsia"/>
                <w:b/>
                <w:szCs w:val="21"/>
              </w:rPr>
              <w:t>O：29.12.00;34.05.00</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rPr>
                <w:rFonts w:hint="eastAsia"/>
                <w:b/>
                <w:szCs w:val="21"/>
              </w:rPr>
            </w:pPr>
            <w:r>
              <w:rPr>
                <w:rFonts w:hint="eastAsia"/>
                <w:b/>
                <w:szCs w:val="21"/>
              </w:rPr>
              <w:t>Q：29.12.00</w:t>
            </w:r>
          </w:p>
          <w:p>
            <w:pPr>
              <w:rPr>
                <w:rFonts w:hint="eastAsia"/>
                <w:b/>
                <w:szCs w:val="21"/>
              </w:rPr>
            </w:pPr>
            <w:r>
              <w:rPr>
                <w:rFonts w:hint="eastAsia"/>
                <w:b/>
                <w:szCs w:val="21"/>
              </w:rPr>
              <w:t>E：29.12.00;34.05.00</w:t>
            </w:r>
          </w:p>
          <w:p>
            <w:pPr>
              <w:snapToGrid w:val="0"/>
              <w:spacing w:line="280" w:lineRule="exact"/>
              <w:jc w:val="center"/>
              <w:rPr>
                <w:b/>
                <w:sz w:val="20"/>
              </w:rPr>
            </w:pPr>
            <w:r>
              <w:rPr>
                <w:rFonts w:hint="eastAsia"/>
                <w:b/>
                <w:szCs w:val="21"/>
              </w:rPr>
              <w:t>O：29.12.00;34.05.00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技术开发：客户需求-----立项---方案研讨--方案设计 –样品--测试--改进--确认---验收</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销售：客户接触----合同评审----签订合同-----客户付款------入帐------采购-----客户提货-----验收</w:t>
            </w:r>
          </w:p>
          <w:p>
            <w:pPr>
              <w:pStyle w:val="2"/>
              <w:rPr>
                <w:rFonts w:hint="eastAsia"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设计开发控制：设计开发过程</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人 员</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设计开发人员均有多年的专业设计过程部经验,并由公司组织进行了培训,通过实际设计过程业务考查,基本能确保设计过程服务进行.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设 备/设施</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设计过程服务场所、电脑、打印机等设计过程服务设施设计过程服务满足要求</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作业指导书</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编制了与顾客有关的过程控制程序、供应商及采购控程序，设计过程服务管理制度、售后服务制度等文件,经确认有效可行，能确保设计过程服务进行.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工作环境</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设计过程办公工作环境及设计过程环境确保设计过程服务的有效进行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销售控制：</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售前：走访用户、了解相关信息等，与顾客签订合同或订单；</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售中：组织供方按期交付，解决用户对进度、质量等关切问题；</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售后：与客户保持密切沟通，不定期回访用户，并对顾客反馈问题解答。体系建立实施至今未发生严重顾客投诉。</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市场部获取销售信息，与客户洽谈，在签订合同前对客户要求进行评审，确认可以满足行业有关法律、法规要求和公司规定及客户要求时，签订合同，根据销售合同为客户提供服务。</w:t>
            </w:r>
          </w:p>
          <w:p>
            <w:pPr>
              <w:pStyle w:val="2"/>
              <w:rPr>
                <w:rFonts w:hint="default"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编制了《环境因素的识别与评价控制程序》《危险源辩识、风险评价和风险控制策划程序》符合标准要求.</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提供的“环境因素识别评价表”“重要环境因素清单”， 评价考虑了三种时态现在、过去、将来、三种状态、异常、正常、紧急考虑了法律法规，并进行了评价，识别技术管理过程，用打分法考虑了法规符合性、发生频次、影响范围等, 通过定性判断法，共识别出重大环境因素2项：固废排放、火灾，评价符合程序要求及公司的实际情况。</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对重要环境因素的控制措施包括制定管理制度、监督检查、应急预案、培训等。提供《重要环境因素识别清单》，其中综合办涉及的重要环境因素：固废排放、意外火灾的发生，评价基本合理。</w:t>
            </w:r>
          </w:p>
          <w:p>
            <w:pPr>
              <w:pStyle w:val="2"/>
              <w:rPr>
                <w:rFonts w:hint="eastAsia"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pStyle w:val="2"/>
              <w:rPr>
                <w:rFonts w:hint="eastAsia"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r>
              <w:t>GB15208.1-2005《微剂量 X 射线安全检查设备 第一部分：通用技术要求》</w:t>
            </w:r>
          </w:p>
          <w:p>
            <w:r>
              <w:t>GB12664-2003 《便携式 X 射线安全检查设备通用规范》</w:t>
            </w:r>
          </w:p>
          <w:p>
            <w:r>
              <w:t>GB 15210-2018 《 通过式金属探测门通过用技术规范》</w:t>
            </w:r>
          </w:p>
          <w:p>
            <w:r>
              <w:t>JAXF-ZHB-110型多功能指挥棒技术要求</w:t>
            </w:r>
          </w:p>
          <w:p>
            <w:r>
              <w:t>GA 446-2003 《 警服 反光背心》</w:t>
            </w:r>
          </w:p>
          <w:p>
            <w:r>
              <w:t>GA420-2008 警用防爆服</w:t>
            </w:r>
          </w:p>
          <w:p>
            <w:r>
              <w:t>GA294-2012 警用防暴头盔</w:t>
            </w:r>
          </w:p>
          <w:p>
            <w:r>
              <w:t>GA 69-2007 防爆毯</w:t>
            </w:r>
          </w:p>
          <w:p>
            <w:r>
              <w:t>GB 8702-2014 电磁环境控制险值</w:t>
            </w:r>
          </w:p>
          <w:p>
            <w:r>
              <w:t>GA/T 1169-2014 警用电子封控设备技术规范</w:t>
            </w:r>
          </w:p>
          <w:p>
            <w:r>
              <w:t>JAXF-119型 无人机干扰仪技术要求</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default" w:eastAsia="宋体"/>
                <w:b/>
                <w:sz w:val="20"/>
                <w:lang w:val="en-US" w:eastAsia="zh-CN"/>
              </w:rPr>
            </w:pPr>
            <w:r>
              <w:rPr>
                <w:rFonts w:hint="eastAsia"/>
                <w:b/>
                <w:sz w:val="20"/>
                <w:lang w:val="en-US" w:eastAsia="zh-CN"/>
              </w:rPr>
              <w:t>安防产品需进行检验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2020.10.16</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2020.10.16</w:t>
      </w:r>
      <w:r>
        <w:rPr>
          <w:rFonts w:hint="eastAsia"/>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CF67B5"/>
    <w:rsid w:val="78EE1F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86136</cp:lastModifiedBy>
  <dcterms:modified xsi:type="dcterms:W3CDTF">2020-10-19T11:38:47Z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