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中国石化扬子石油化工有限公司</w:t>
      </w:r>
      <w:bookmarkEnd w:id="1"/>
    </w:p>
    <w:p>
      <w:pPr>
        <w:spacing w:line="360" w:lineRule="auto"/>
        <w:jc w:val="left"/>
        <w:rPr>
          <w:rFonts w:ascii="宋体" w:hAnsi="宋体"/>
          <w:spacing w:val="32"/>
          <w:sz w:val="32"/>
          <w:u w:val="single"/>
        </w:rPr>
      </w:pPr>
      <w:r>
        <w:rPr>
          <w:rFonts w:hint="eastAsia" w:ascii="宋体" w:hAnsi="宋体"/>
          <w:spacing w:val="80"/>
          <w:sz w:val="32"/>
        </w:rPr>
        <w:t>编号</w:t>
      </w:r>
      <w:r>
        <w:rPr>
          <w:rFonts w:hint="eastAsia" w:ascii="宋体" w:hAnsi="宋体"/>
          <w:sz w:val="32"/>
        </w:rPr>
        <w:t>：</w:t>
      </w:r>
      <w:bookmarkStart w:id="2" w:name="合同编号"/>
      <w:r>
        <w:rPr>
          <w:rFonts w:hint="eastAsia" w:ascii="宋体" w:hAnsi="宋体"/>
          <w:sz w:val="32"/>
        </w:rPr>
        <w:t>0033-2018-2020</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0033-2018-2020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2718"/>
        <w:gridCol w:w="1533"/>
        <w:gridCol w:w="2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718"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中国石化扬子石油化工有限公司</w:t>
            </w:r>
            <w:bookmarkEnd w:id="4"/>
          </w:p>
        </w:tc>
        <w:tc>
          <w:tcPr>
            <w:tcW w:w="1533"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411"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汪莲</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718"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ISC-2018-0294</w:t>
            </w:r>
            <w:bookmarkEnd w:id="6"/>
          </w:p>
        </w:tc>
        <w:tc>
          <w:tcPr>
            <w:tcW w:w="1533"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411"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2023-09-03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718"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二</w:t>
            </w:r>
            <w:bookmarkEnd w:id="8"/>
          </w:p>
        </w:tc>
        <w:tc>
          <w:tcPr>
            <w:tcW w:w="1533"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411"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2020年10月14日 上午</w:t>
            </w:r>
            <w:bookmarkEnd w:id="9"/>
            <w:r>
              <w:rPr>
                <w:rFonts w:hint="eastAsia" w:cs="宋体" w:asciiTheme="minorEastAsia" w:hAnsiTheme="minorEastAsia"/>
                <w:kern w:val="0"/>
                <w:szCs w:val="21"/>
                <w:lang w:val="en-US" w:eastAsia="zh-CN"/>
              </w:rPr>
              <w:t>-10月15日下午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2718"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李菁</w:t>
            </w:r>
            <w:r>
              <w:rPr>
                <w:rFonts w:ascii="宋体" w:hAnsi="宋体"/>
                <w:color w:val="000000"/>
                <w:szCs w:val="21"/>
                <w:shd w:val="pct10" w:color="auto" w:fill="FFFFFF"/>
              </w:rPr>
              <w:t>中认协评[2018]98号ISC[S]0003</w:t>
            </w:r>
            <w:r>
              <w:rPr>
                <w:rFonts w:hint="eastAsia" w:ascii="宋体" w:hAnsi="宋体"/>
                <w:color w:val="000000"/>
                <w:szCs w:val="21"/>
                <w:shd w:val="pct10" w:color="auto" w:fill="FFFFFF"/>
                <w:lang w:val="en-US" w:eastAsia="zh-CN"/>
              </w:rPr>
              <w:t>/谭华</w:t>
            </w:r>
            <w:r>
              <w:rPr>
                <w:rFonts w:ascii="宋体" w:hAnsi="宋体"/>
                <w:color w:val="000000"/>
                <w:szCs w:val="21"/>
                <w:shd w:val="pct10" w:color="auto" w:fill="FFFFFF"/>
              </w:rPr>
              <w:t>中认协评[2019]228号ISC[S]0371</w:t>
            </w:r>
            <w:r>
              <w:rPr>
                <w:rFonts w:hint="eastAsia" w:ascii="宋体" w:hAnsi="宋体"/>
                <w:color w:val="000000"/>
                <w:szCs w:val="21"/>
                <w:shd w:val="pct10" w:color="auto" w:fill="FFFFFF"/>
                <w:lang w:val="en-US" w:eastAsia="zh-CN"/>
              </w:rPr>
              <w:t>/刘昌友</w:t>
            </w:r>
            <w:r>
              <w:rPr>
                <w:rFonts w:ascii="宋体" w:hAnsi="宋体"/>
                <w:color w:val="000000"/>
                <w:szCs w:val="21"/>
                <w:shd w:val="pct10" w:color="auto" w:fill="FFFFFF"/>
              </w:rPr>
              <w:t>中认协评[2019]228号ISC[S]0371</w:t>
            </w:r>
          </w:p>
        </w:tc>
        <w:tc>
          <w:tcPr>
            <w:tcW w:w="1533"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411" w:type="dxa"/>
          </w:tcPr>
          <w:p>
            <w:pPr>
              <w:jc w:val="center"/>
              <w:rPr>
                <w:rFonts w:hint="default" w:cs="宋体" w:asciiTheme="minorEastAsia" w:hAnsiTheme="minorEastAsia" w:eastAsiaTheme="minorEastAsia"/>
                <w:kern w:val="0"/>
                <w:szCs w:val="21"/>
                <w:lang w:val="en-US" w:eastAsia="zh-CN"/>
              </w:rPr>
            </w:pPr>
            <w:r>
              <w:rPr>
                <w:rFonts w:hint="eastAsia" w:ascii="宋体" w:hAnsi="宋体"/>
                <w:szCs w:val="21"/>
              </w:rPr>
              <w:t>企管处、</w:t>
            </w:r>
            <w:r>
              <w:rPr>
                <w:rFonts w:hint="eastAsia" w:ascii="宋体" w:hAnsi="宋体"/>
                <w:szCs w:val="21"/>
                <w:lang w:val="en-US" w:eastAsia="zh-CN"/>
              </w:rPr>
              <w:t>安全环保处、</w:t>
            </w:r>
            <w:r>
              <w:rPr>
                <w:rFonts w:hint="eastAsia" w:ascii="宋体"/>
                <w:bCs/>
                <w:szCs w:val="21"/>
              </w:rPr>
              <w:t>计划经营处</w:t>
            </w:r>
            <w:r>
              <w:rPr>
                <w:rFonts w:hint="eastAsia" w:ascii="宋体"/>
                <w:bCs/>
                <w:szCs w:val="21"/>
                <w:lang w:eastAsia="zh-CN"/>
              </w:rPr>
              <w:t>、</w:t>
            </w:r>
            <w:r>
              <w:rPr>
                <w:rFonts w:hint="eastAsia" w:ascii="宋体" w:hAnsi="宋体"/>
                <w:szCs w:val="21"/>
              </w:rPr>
              <w:t>计量中心烯烃厂（含烯烃电仪）</w:t>
            </w:r>
            <w:r>
              <w:rPr>
                <w:rFonts w:hint="eastAsia" w:ascii="宋体" w:hAnsi="宋体"/>
                <w:szCs w:val="21"/>
                <w:lang w:eastAsia="zh-CN"/>
              </w:rPr>
              <w:t>、</w:t>
            </w:r>
            <w:r>
              <w:rPr>
                <w:rFonts w:hint="eastAsia" w:eastAsia="新宋体"/>
                <w:szCs w:val="21"/>
              </w:rPr>
              <w:t>炼油厂(含炼油电仪）</w:t>
            </w:r>
            <w:r>
              <w:rPr>
                <w:rFonts w:hint="eastAsia" w:eastAsia="新宋体"/>
                <w:szCs w:val="21"/>
                <w:lang w:eastAsia="zh-CN"/>
              </w:rPr>
              <w:t>、</w:t>
            </w:r>
            <w:r>
              <w:rPr>
                <w:rFonts w:hint="eastAsia" w:eastAsia="新宋体"/>
                <w:szCs w:val="21"/>
                <w:lang w:val="en-US" w:eastAsia="zh-CN"/>
              </w:rPr>
              <w:t>芳烃厂（含芳烃电仪）、化工厂（含化工电仪）</w:t>
            </w:r>
            <w:r>
              <w:rPr>
                <w:rFonts w:hint="eastAsia" w:eastAsia="新宋体"/>
                <w:szCs w:val="21"/>
              </w:rPr>
              <w:t>电厂</w:t>
            </w:r>
            <w:r>
              <w:rPr>
                <w:rFonts w:hint="eastAsia" w:eastAsia="新宋体"/>
                <w:szCs w:val="21"/>
                <w:lang w:eastAsia="zh-CN"/>
              </w:rPr>
              <w:t>、</w:t>
            </w:r>
            <w:r>
              <w:rPr>
                <w:rFonts w:hint="eastAsia" w:eastAsia="新宋体"/>
                <w:szCs w:val="21"/>
              </w:rPr>
              <w:t>水厂（含水厂电仪）</w:t>
            </w:r>
            <w:r>
              <w:rPr>
                <w:rFonts w:hint="eastAsia" w:ascii="宋体"/>
                <w:bCs/>
                <w:szCs w:val="21"/>
              </w:rPr>
              <w:t>、</w:t>
            </w:r>
            <w:r>
              <w:rPr>
                <w:rFonts w:hint="eastAsia" w:ascii="宋体" w:hAnsi="宋体"/>
                <w:bCs/>
                <w:szCs w:val="21"/>
              </w:rPr>
              <w:t>贮运厂（含贮运电仪）</w:t>
            </w:r>
            <w:r>
              <w:rPr>
                <w:rFonts w:hint="eastAsia" w:ascii="宋体" w:hAnsi="宋体"/>
                <w:bCs/>
                <w:szCs w:val="21"/>
                <w:lang w:val="en-US" w:eastAsia="zh-CN"/>
              </w:rPr>
              <w:t>消防中心、电仪中心</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276" w:lineRule="auto"/>
        <w:ind w:firstLine="420" w:firstLineChars="200"/>
        <w:rPr>
          <w:rFonts w:hint="eastAsia" w:cs="宋体" w:asciiTheme="minorEastAsia" w:hAnsiTheme="minorEastAsia"/>
          <w:bCs/>
          <w:kern w:val="0"/>
          <w:szCs w:val="21"/>
          <w:lang w:val="en-US" w:eastAsia="zh-CN"/>
        </w:rPr>
      </w:pPr>
      <w:r>
        <w:rPr>
          <w:rFonts w:hint="eastAsia" w:cs="宋体" w:asciiTheme="minorEastAsia" w:hAnsiTheme="minorEastAsia"/>
          <w:bCs/>
          <w:kern w:val="0"/>
          <w:szCs w:val="21"/>
        </w:rPr>
        <w:t>201</w:t>
      </w:r>
      <w:r>
        <w:rPr>
          <w:rFonts w:hint="eastAsia" w:cs="宋体" w:asciiTheme="minorEastAsia" w:hAnsiTheme="minorEastAsia"/>
          <w:bCs/>
          <w:kern w:val="0"/>
          <w:szCs w:val="21"/>
          <w:lang w:val="en-US" w:eastAsia="zh-CN"/>
        </w:rPr>
        <w:t>9</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10</w:t>
      </w:r>
      <w:r>
        <w:rPr>
          <w:rFonts w:hint="eastAsia" w:cs="宋体" w:asciiTheme="minorEastAsia" w:hAnsiTheme="minorEastAsia"/>
          <w:bCs/>
          <w:kern w:val="0"/>
          <w:szCs w:val="21"/>
        </w:rPr>
        <w:t>月至今，公司日常运行中生产</w:t>
      </w:r>
      <w:r>
        <w:rPr>
          <w:rFonts w:hint="eastAsia" w:cs="宋体" w:asciiTheme="minorEastAsia" w:hAnsiTheme="minorEastAsia"/>
          <w:bCs/>
          <w:kern w:val="0"/>
          <w:szCs w:val="21"/>
          <w:lang w:val="en-US" w:eastAsia="zh-CN"/>
        </w:rPr>
        <w:t>经营平稳，</w:t>
      </w:r>
      <w:r>
        <w:rPr>
          <w:rFonts w:hint="eastAsia" w:cs="宋体" w:asciiTheme="minorEastAsia" w:hAnsiTheme="minorEastAsia"/>
          <w:bCs/>
          <w:kern w:val="0"/>
          <w:szCs w:val="21"/>
        </w:rPr>
        <w:t>企业未有</w:t>
      </w:r>
      <w:r>
        <w:rPr>
          <w:rFonts w:cs="宋体" w:asciiTheme="minorEastAsia" w:hAnsiTheme="minorEastAsia"/>
          <w:bCs/>
          <w:kern w:val="0"/>
          <w:szCs w:val="21"/>
        </w:rPr>
        <w:t>违反法律</w:t>
      </w:r>
      <w:r>
        <w:rPr>
          <w:rFonts w:hint="eastAsia" w:cs="宋体" w:asciiTheme="minorEastAsia" w:hAnsiTheme="minorEastAsia"/>
          <w:bCs/>
          <w:kern w:val="0"/>
          <w:szCs w:val="21"/>
        </w:rPr>
        <w:t>、</w:t>
      </w:r>
      <w:r>
        <w:rPr>
          <w:rFonts w:cs="宋体" w:asciiTheme="minorEastAsia" w:hAnsiTheme="minorEastAsia"/>
          <w:bCs/>
          <w:kern w:val="0"/>
          <w:szCs w:val="21"/>
        </w:rPr>
        <w:t>法规</w:t>
      </w:r>
      <w:r>
        <w:rPr>
          <w:rFonts w:hint="eastAsia" w:cs="宋体" w:asciiTheme="minorEastAsia" w:hAnsiTheme="minorEastAsia"/>
          <w:bCs/>
          <w:kern w:val="0"/>
          <w:szCs w:val="21"/>
        </w:rPr>
        <w:t>问题和产品质量问题的投诉或</w:t>
      </w:r>
      <w:r>
        <w:rPr>
          <w:rFonts w:cs="宋体" w:asciiTheme="minorEastAsia" w:hAnsiTheme="minorEastAsia"/>
          <w:bCs/>
          <w:kern w:val="0"/>
          <w:szCs w:val="21"/>
        </w:rPr>
        <w:t>重大</w:t>
      </w:r>
      <w:r>
        <w:rPr>
          <w:rFonts w:hint="eastAsia" w:cs="宋体" w:asciiTheme="minorEastAsia" w:hAnsiTheme="minorEastAsia"/>
          <w:bCs/>
          <w:kern w:val="0"/>
          <w:szCs w:val="21"/>
        </w:rPr>
        <w:t>质量</w:t>
      </w:r>
      <w:r>
        <w:rPr>
          <w:rFonts w:cs="宋体" w:asciiTheme="minorEastAsia" w:hAnsiTheme="minorEastAsia"/>
          <w:bCs/>
          <w:kern w:val="0"/>
          <w:szCs w:val="21"/>
        </w:rPr>
        <w:t>事故</w:t>
      </w:r>
      <w:r>
        <w:rPr>
          <w:rFonts w:hint="eastAsia" w:cs="宋体" w:asciiTheme="minorEastAsia" w:hAnsiTheme="minorEastAsia"/>
          <w:bCs/>
          <w:kern w:val="0"/>
          <w:szCs w:val="21"/>
        </w:rPr>
        <w:t>发生。企业营业执照</w:t>
      </w:r>
      <w:r>
        <w:rPr>
          <w:rFonts w:hint="eastAsia" w:cs="宋体" w:asciiTheme="minorEastAsia" w:hAnsiTheme="minorEastAsia"/>
          <w:bCs/>
          <w:kern w:val="0"/>
          <w:szCs w:val="21"/>
          <w:lang w:val="en-US" w:eastAsia="zh-CN"/>
        </w:rPr>
        <w:t>等资质未发生变化。</w:t>
      </w:r>
    </w:p>
    <w:p>
      <w:pPr>
        <w:widowControl/>
        <w:spacing w:line="276" w:lineRule="auto"/>
        <w:ind w:firstLine="420" w:firstLineChars="200"/>
        <w:rPr>
          <w:rFonts w:hint="default" w:cs="宋体" w:asciiTheme="minorEastAsia" w:hAnsiTheme="minorEastAsia"/>
          <w:bCs/>
          <w:kern w:val="0"/>
          <w:szCs w:val="21"/>
          <w:lang w:val="en-US" w:eastAsia="zh-CN"/>
        </w:rPr>
      </w:pPr>
    </w:p>
    <w:p>
      <w:pPr>
        <w:tabs>
          <w:tab w:val="left" w:pos="720"/>
        </w:tabs>
        <w:spacing w:line="360" w:lineRule="auto"/>
        <w:ind w:firstLine="420" w:firstLineChars="200"/>
        <w:rPr>
          <w:rFonts w:hint="eastAsia"/>
          <w:sz w:val="21"/>
          <w:szCs w:val="21"/>
          <w:lang w:val="en-US" w:eastAsia="zh-CN"/>
        </w:rPr>
      </w:pPr>
      <w:r>
        <w:rPr>
          <w:rFonts w:hint="eastAsia"/>
          <w:sz w:val="21"/>
          <w:szCs w:val="21"/>
          <w:lang w:val="en-US" w:eastAsia="zh-CN"/>
        </w:rPr>
        <w:t>监督审核过程简述：</w:t>
      </w:r>
    </w:p>
    <w:p>
      <w:pPr>
        <w:tabs>
          <w:tab w:val="left" w:pos="720"/>
        </w:tabs>
        <w:spacing w:line="360" w:lineRule="auto"/>
        <w:ind w:firstLine="420" w:firstLineChars="200"/>
        <w:rPr>
          <w:rFonts w:hint="eastAsia"/>
          <w:sz w:val="21"/>
          <w:szCs w:val="21"/>
          <w:lang w:val="en-US" w:eastAsia="zh-CN"/>
        </w:rPr>
      </w:pPr>
      <w:r>
        <w:rPr>
          <w:rFonts w:hint="eastAsia"/>
          <w:sz w:val="21"/>
          <w:szCs w:val="21"/>
          <w:lang w:val="en-US" w:eastAsia="zh-CN"/>
        </w:rPr>
        <w:t>审核组于10月14日到10月15日利用2天的时间根据审核计划先后抽样检查了企业4个职能管理部门和9个生产作业单位，覆盖了GB/T 19022-2003标准的所有要素和体系涉及的主要范围，涉及公司生产、质量、安全和环境管理等。为有效评价公司体系运行的质量，审核组重点检查了公司计量特征突出的重要环安全生产、贸易结算、环境监测和产品质量，掌握了企业测量管理体系的运行状况和品质。在审核中发现：一年来，在公司领导关心、企管部等单位的指导下，公司计量工作流程逐步清晰，计量操作行为日趋规范，关键测量过程逐步受控，计量中心坚持以问题为导向，全面梳理原油等测量过程监督管理存在的风险点，效果逐渐显现。进一步提升了公司计量专业化管理水平。</w:t>
      </w:r>
    </w:p>
    <w:p>
      <w:pPr>
        <w:tabs>
          <w:tab w:val="left" w:pos="720"/>
        </w:tabs>
        <w:spacing w:line="360" w:lineRule="auto"/>
        <w:ind w:firstLine="420" w:firstLineChars="200"/>
        <w:rPr>
          <w:rFonts w:hint="eastAsia"/>
          <w:sz w:val="21"/>
          <w:szCs w:val="21"/>
          <w:lang w:val="en-US" w:eastAsia="zh-CN"/>
        </w:rPr>
      </w:pPr>
      <w:r>
        <w:rPr>
          <w:rFonts w:hint="eastAsia"/>
          <w:sz w:val="21"/>
          <w:szCs w:val="21"/>
          <w:lang w:val="en-US" w:eastAsia="zh-CN"/>
        </w:rPr>
        <w:t>2.1计量中心成立一年来，扬子公司通过规范测量过程，共计挽回损失合计约  4120 万元，其中：</w:t>
      </w:r>
    </w:p>
    <w:p>
      <w:pPr>
        <w:tabs>
          <w:tab w:val="left" w:pos="720"/>
        </w:tabs>
        <w:spacing w:line="360" w:lineRule="auto"/>
        <w:ind w:firstLine="420" w:firstLineChars="200"/>
        <w:rPr>
          <w:rFonts w:hint="eastAsia"/>
          <w:sz w:val="21"/>
          <w:szCs w:val="21"/>
          <w:lang w:val="en-US" w:eastAsia="zh-CN"/>
        </w:rPr>
      </w:pPr>
      <w:r>
        <w:rPr>
          <w:rFonts w:hint="eastAsia"/>
          <w:sz w:val="21"/>
          <w:szCs w:val="21"/>
          <w:lang w:val="en-US" w:eastAsia="zh-CN"/>
        </w:rPr>
        <w:t>原油测量过程全程监控再显成效。公司有关部门重点在规范原油卸船操作、监控商检测量过程上下功夫。2020年以来，原油进厂纯油差率控制在-0.02%。主动做好流量计零系数交接，协调南京输油处核对流量计检定后的补差量，5月份补回差量3365.4吨原油、9月份补回差量2626吨原油，为公司挽回损失合计约  1498  万元。</w:t>
      </w:r>
    </w:p>
    <w:p>
      <w:pPr>
        <w:tabs>
          <w:tab w:val="left" w:pos="720"/>
        </w:tabs>
        <w:spacing w:line="360" w:lineRule="auto"/>
        <w:ind w:firstLine="420" w:firstLineChars="200"/>
        <w:rPr>
          <w:rFonts w:hint="eastAsia"/>
          <w:sz w:val="21"/>
          <w:szCs w:val="21"/>
          <w:lang w:val="en-US" w:eastAsia="zh-CN"/>
        </w:rPr>
      </w:pPr>
      <w:r>
        <w:rPr>
          <w:rFonts w:hint="eastAsia"/>
          <w:sz w:val="21"/>
          <w:szCs w:val="21"/>
          <w:lang w:val="en-US" w:eastAsia="zh-CN"/>
        </w:rPr>
        <w:t xml:space="preserve">、对重质原料油改用质量流量计计量确认工作成效显著。针对公司重质原料油长期以来损耗率达2%以上的问题，2020年以来，公司重点突破并推进重质原料油进厂流量计计量技术，经多方协调于2020年5月1日起实施质量流量计交接方式，当月损失率就降至0.37%，6月份降至0.09%，为公司创效615万元。按照2019年平均2.2%的损失率计算，能为公司减少重质原料油损失达6600吨/年，减少损失约2000万元/年。  </w:t>
      </w:r>
    </w:p>
    <w:p>
      <w:pPr>
        <w:tabs>
          <w:tab w:val="left" w:pos="720"/>
        </w:tabs>
        <w:spacing w:line="360" w:lineRule="auto"/>
        <w:ind w:firstLine="420" w:firstLineChars="200"/>
        <w:rPr>
          <w:rFonts w:hint="eastAsia"/>
          <w:sz w:val="21"/>
          <w:szCs w:val="21"/>
          <w:lang w:val="en-US" w:eastAsia="zh-CN"/>
        </w:rPr>
      </w:pPr>
      <w:r>
        <w:rPr>
          <w:rFonts w:hint="eastAsia"/>
          <w:sz w:val="21"/>
          <w:szCs w:val="21"/>
          <w:lang w:val="en-US" w:eastAsia="zh-CN"/>
        </w:rPr>
        <w:t>（3）、成品油出厂交接计量测量过程持续受控。贮运厂重点做好流量计与发货罐、收料船之间的计量数据比对工作，审核中确认：核查2020年8月14日，华盛1001轮船装运5号工业白油，质量流量计交接计量数据为993.032吨、发货罐人工监督量为993.403吨，差率仅为0.03%；</w:t>
      </w:r>
    </w:p>
    <w:p>
      <w:pPr>
        <w:tabs>
          <w:tab w:val="left" w:pos="720"/>
        </w:tabs>
        <w:spacing w:line="360" w:lineRule="auto"/>
        <w:ind w:firstLine="420" w:firstLineChars="200"/>
        <w:rPr>
          <w:rFonts w:hint="eastAsia"/>
          <w:sz w:val="21"/>
          <w:szCs w:val="21"/>
          <w:lang w:val="en-US" w:eastAsia="zh-CN"/>
        </w:rPr>
      </w:pPr>
      <w:r>
        <w:rPr>
          <w:rFonts w:hint="eastAsia"/>
          <w:sz w:val="21"/>
          <w:szCs w:val="21"/>
          <w:lang w:val="en-US" w:eastAsia="zh-CN"/>
        </w:rPr>
        <w:t xml:space="preserve">（4）综合治理，沥青水运出厂损耗显著降低。公司沥青水运出厂均采用商检量进行计量交接，一直以来与质量流量计量存在较大差量，有时达到1%以上，2019年1-8月份差率达0.57%。对此，公司有关部门通过技术攻关，深入核查超差原因，2019年9-12月份差率下降至0.34%，2020年1-7月份下降至 0.27%。2020年8月份，计量中心联合相关部门推进采用炼油厂装车鹤位质量流量计进行沥青水运出厂计量交接， 于9月1日正式施行，沥青水运出厂损耗得到控制，按照2019年损耗计算，挽回沥青损耗2500多吨/年，价值约  625   万元 。     </w:t>
      </w:r>
    </w:p>
    <w:p>
      <w:pPr>
        <w:tabs>
          <w:tab w:val="left" w:pos="720"/>
        </w:tabs>
        <w:spacing w:line="360" w:lineRule="auto"/>
        <w:ind w:firstLine="420" w:firstLineChars="200"/>
        <w:rPr>
          <w:rFonts w:hint="eastAsia"/>
          <w:sz w:val="21"/>
          <w:szCs w:val="21"/>
          <w:lang w:val="en-US" w:eastAsia="zh-CN"/>
        </w:rPr>
      </w:pPr>
      <w:r>
        <w:rPr>
          <w:rFonts w:hint="eastAsia"/>
          <w:sz w:val="21"/>
          <w:szCs w:val="21"/>
          <w:lang w:val="en-US" w:eastAsia="zh-CN"/>
        </w:rPr>
        <w:t>（5）核查贮运厂柴油G401B封罐量为5313.879吨，安排计量人员再次复测计量数据为5313.837吨，差量仅为42公斤。2020年以来，扬子码头成品油出厂因产品质优量足，成品油装船计量争议显著降低。</w:t>
      </w:r>
    </w:p>
    <w:p>
      <w:pPr>
        <w:tabs>
          <w:tab w:val="left" w:pos="720"/>
        </w:tabs>
        <w:spacing w:line="360" w:lineRule="auto"/>
        <w:ind w:firstLine="420" w:firstLineChars="200"/>
        <w:rPr>
          <w:rFonts w:hint="eastAsia"/>
          <w:sz w:val="21"/>
          <w:szCs w:val="21"/>
          <w:lang w:val="en-US" w:eastAsia="zh-CN"/>
        </w:rPr>
      </w:pPr>
      <w:r>
        <w:rPr>
          <w:rFonts w:hint="eastAsia"/>
          <w:sz w:val="21"/>
          <w:szCs w:val="21"/>
          <w:lang w:val="en-US" w:eastAsia="zh-CN"/>
        </w:rPr>
        <w:t>2.2公司各相关单位持续推进测量过程的识别、设计和运行工作，目前已识别出8884条测量过程，其中高度的测量过程为2764个，进一步加强了对高度测量过程的控制和监视。</w:t>
      </w:r>
    </w:p>
    <w:p>
      <w:pPr>
        <w:tabs>
          <w:tab w:val="left" w:pos="720"/>
        </w:tabs>
        <w:spacing w:line="360" w:lineRule="auto"/>
        <w:ind w:firstLine="420" w:firstLineChars="200"/>
        <w:rPr>
          <w:rFonts w:hint="eastAsia"/>
          <w:sz w:val="21"/>
          <w:szCs w:val="21"/>
          <w:lang w:val="en-US" w:eastAsia="zh-CN"/>
        </w:rPr>
      </w:pPr>
      <w:r>
        <w:rPr>
          <w:rFonts w:hint="eastAsia"/>
          <w:sz w:val="21"/>
          <w:szCs w:val="21"/>
          <w:lang w:val="en-US" w:eastAsia="zh-CN"/>
        </w:rPr>
        <w:t>2.3 计量中心以测量管理体系运行为切入点：一是梳理职责界面，推动各生产厂计量兼职人员全部配置到位；二是邀请公司内部专家和中石化计量先进单位专家开展计量技术和测量管理体系培训，参培人员达共800多人次；三是梳理优化测量设备检定流程，打造测量设备检定管理的“精品工程”；四是强化计量专业岗位检查力度。目前已初步形成了计量中心和生产厂齐抓共管的格局，工作流程进一步顺畅。</w:t>
      </w:r>
    </w:p>
    <w:p>
      <w:pPr>
        <w:tabs>
          <w:tab w:val="left" w:pos="720"/>
        </w:tabs>
        <w:spacing w:line="360" w:lineRule="auto"/>
        <w:ind w:firstLine="420" w:firstLineChars="200"/>
        <w:rPr>
          <w:rFonts w:hint="default"/>
          <w:sz w:val="21"/>
          <w:szCs w:val="21"/>
          <w:lang w:val="en-US" w:eastAsia="zh-CN"/>
        </w:rPr>
      </w:pPr>
      <w:r>
        <w:rPr>
          <w:rFonts w:hint="eastAsia"/>
          <w:sz w:val="21"/>
          <w:szCs w:val="21"/>
          <w:lang w:val="en-US" w:eastAsia="zh-CN"/>
        </w:rPr>
        <w:t>2.4  电仪中心检定站做好计量标准考核、授权管理工作，计量标准管理有序。计量检定站曾拥有扬子有限公司企业最高计量标准34项，因种种原因，目前实际在用标准16项，其中精密压力表标准装置、流量检定装置为南京市质量技术监督局授权法定计量检定机构。该两项授权机构保障了公司压力、贸易交接流量仪表的量值传递及时性、可靠性，基本满足公司生产经营所需  检定站全年预计可完成检定计量器具7000台件，其中便携式气体报警仪3000台(节约外送检定费约150万元)； 流量仪表1000台（节约外送检定费约200万元）； 温度压力等类3000台件（节约外送检定费约40万元）。</w:t>
      </w:r>
    </w:p>
    <w:p>
      <w:pPr>
        <w:tabs>
          <w:tab w:val="left" w:pos="720"/>
        </w:tabs>
        <w:spacing w:line="360" w:lineRule="auto"/>
        <w:rPr>
          <w:rFonts w:hint="eastAsia"/>
          <w:sz w:val="21"/>
          <w:szCs w:val="21"/>
          <w:lang w:val="en-US" w:eastAsia="zh-CN"/>
        </w:rPr>
      </w:pPr>
      <w:r>
        <w:rPr>
          <w:rFonts w:hint="eastAsia"/>
          <w:sz w:val="21"/>
          <w:szCs w:val="21"/>
          <w:lang w:val="en-US" w:eastAsia="zh-CN"/>
        </w:rPr>
        <w:t>3.内部审核和管理评审的情况：</w:t>
      </w:r>
    </w:p>
    <w:p>
      <w:pPr>
        <w:tabs>
          <w:tab w:val="left" w:pos="720"/>
        </w:tabs>
        <w:spacing w:line="360" w:lineRule="auto"/>
        <w:ind w:firstLine="420" w:firstLineChars="200"/>
        <w:rPr>
          <w:rFonts w:hint="eastAsia"/>
          <w:sz w:val="21"/>
          <w:szCs w:val="21"/>
          <w:lang w:val="en-US" w:eastAsia="zh-CN"/>
        </w:rPr>
      </w:pPr>
      <w:r>
        <w:rPr>
          <w:rFonts w:hint="eastAsia"/>
          <w:sz w:val="21"/>
          <w:szCs w:val="21"/>
          <w:lang w:val="en-US" w:eastAsia="zh-CN"/>
        </w:rPr>
        <w:t>2019年组织了体系内部审核，共查出不合格项18项，日常岗检查出不合格项95项。查出的113项问题相关单位和部门根据测量管理体系文件要求，在限期内对不合格项均进行了整改，经跟踪验证纠正预防措施有效，不合格项已关闭。体系运行是符合的、适宜的和有效的。</w:t>
      </w:r>
    </w:p>
    <w:p>
      <w:pPr>
        <w:tabs>
          <w:tab w:val="left" w:pos="720"/>
        </w:tabs>
        <w:spacing w:line="360" w:lineRule="auto"/>
        <w:ind w:firstLine="420" w:firstLineChars="200"/>
        <w:rPr>
          <w:rFonts w:hint="eastAsia"/>
          <w:sz w:val="21"/>
          <w:szCs w:val="21"/>
          <w:lang w:val="en-US" w:eastAsia="zh-CN"/>
        </w:rPr>
      </w:pPr>
      <w:r>
        <w:rPr>
          <w:rFonts w:hint="eastAsia"/>
          <w:sz w:val="21"/>
          <w:szCs w:val="21"/>
          <w:lang w:val="en-US" w:eastAsia="zh-CN"/>
        </w:rPr>
        <w:t>2019年11月25日，公司副总经理朱兵主持召开了测量管理体系评审会。体系覆盖单位/部门负责人参加了会议。参会人员对输入的各种材料进行了充分讨论和评审，提出资源需求、存在的问题及整改要求，寻求持续改进的机会，并对2020年计量管理的主要工作目标做出安排和要求。20</w:t>
      </w:r>
      <w:r>
        <w:rPr>
          <w:rFonts w:hint="eastAsia"/>
          <w:sz w:val="21"/>
          <w:szCs w:val="21"/>
          <w:lang w:val="en-US" w:eastAsia="zh-CN"/>
        </w:rPr>
        <w:t>19年体系管理评审暨20</w:t>
      </w:r>
      <w:r>
        <w:rPr>
          <w:rFonts w:hint="eastAsia"/>
          <w:sz w:val="21"/>
          <w:szCs w:val="21"/>
          <w:lang w:val="en-US" w:eastAsia="zh-CN"/>
        </w:rPr>
        <w:t>20年工作会议报告中深刻剖析了计量工作的现状及风险，指出计量提升意识有待进一步加强，部分业务管理体制与公司发展不相适应。提出了进一步深化计量专业化改革，分轻重缓急完善计量器具（设施），严抓计量器具检定和交接监督管理，切实提高计量工作水平。随后公司专门成立了计量中心，明确了计量中心专业管理的职能，并恢复了二级生产单位兼职计量员队伍，为计量管理提升奠定了基础，指明了方向。</w:t>
      </w:r>
    </w:p>
    <w:p>
      <w:pPr>
        <w:tabs>
          <w:tab w:val="left" w:pos="720"/>
        </w:tabs>
        <w:spacing w:line="360" w:lineRule="auto"/>
        <w:ind w:firstLine="420" w:firstLineChars="200"/>
        <w:rPr>
          <w:rFonts w:hint="eastAsia"/>
          <w:sz w:val="21"/>
          <w:szCs w:val="21"/>
          <w:lang w:val="en-US" w:eastAsia="zh-CN"/>
        </w:rPr>
      </w:pPr>
      <w:r>
        <w:rPr>
          <w:rFonts w:hint="eastAsia"/>
          <w:sz w:val="21"/>
          <w:szCs w:val="21"/>
          <w:lang w:val="en-US" w:eastAsia="zh-CN"/>
        </w:rPr>
        <w:t>企业是江苏省重点耗能大户，2019年消耗能源659.8（万吨标准煤），企业有专门的能源计量管理机构，能源测量设备配备率满足要求，进出用能单位应配 106 台（件），实配106台（件）；主要次级用能单位应配501 台（件），实配498台（件）；主要用能设备应配 132台（件），实配 123台（件）；能源计量数据实现了DCS和实时数据采集。经过现场抽查设备的完好率为99.6%。经过对能源报表的审核确认，能源报表数据、原始记录同步，并且进行了数据分析，对重要的能源数据能定期进行监视核查，能源计量管理较好。</w:t>
      </w:r>
    </w:p>
    <w:p>
      <w:pPr>
        <w:tabs>
          <w:tab w:val="left" w:pos="720"/>
        </w:tabs>
        <w:spacing w:line="360" w:lineRule="auto"/>
        <w:rPr>
          <w:rFonts w:hint="eastAsia"/>
          <w:sz w:val="21"/>
          <w:szCs w:val="21"/>
          <w:lang w:val="en-US" w:eastAsia="zh-CN"/>
        </w:rPr>
      </w:pPr>
      <w:r>
        <w:rPr>
          <w:rFonts w:hint="eastAsia"/>
          <w:sz w:val="21"/>
          <w:szCs w:val="21"/>
          <w:lang w:val="en-US" w:eastAsia="zh-CN"/>
        </w:rPr>
        <w:t>4.为持续改进而策划的活动的进展，包括：</w:t>
      </w:r>
    </w:p>
    <w:p>
      <w:pPr>
        <w:tabs>
          <w:tab w:val="left" w:pos="720"/>
        </w:tabs>
        <w:spacing w:line="360" w:lineRule="auto"/>
        <w:ind w:firstLine="420" w:firstLineChars="200"/>
        <w:rPr>
          <w:rFonts w:hint="eastAsia"/>
          <w:sz w:val="21"/>
          <w:szCs w:val="21"/>
        </w:rPr>
      </w:pPr>
      <w:r>
        <w:rPr>
          <w:rFonts w:hint="eastAsia"/>
          <w:sz w:val="21"/>
          <w:szCs w:val="21"/>
          <w:lang w:val="en-US" w:eastAsia="zh-CN"/>
        </w:rPr>
        <w:t>a)计量要求的导出企业未新增关键测量过程，对原有</w:t>
      </w:r>
      <w:r>
        <w:rPr>
          <w:rFonts w:hint="eastAsia"/>
          <w:sz w:val="21"/>
          <w:szCs w:val="21"/>
        </w:rPr>
        <w:t>的高度控制测量过程进行了有效控制。包括：</w:t>
      </w:r>
    </w:p>
    <w:p>
      <w:pPr>
        <w:tabs>
          <w:tab w:val="left" w:pos="720"/>
        </w:tabs>
        <w:spacing w:line="360" w:lineRule="auto"/>
        <w:ind w:firstLine="420" w:firstLineChars="200"/>
        <w:rPr>
          <w:rFonts w:hint="eastAsia"/>
          <w:sz w:val="21"/>
          <w:szCs w:val="21"/>
        </w:rPr>
      </w:pPr>
      <w:r>
        <w:rPr>
          <w:rFonts w:hint="eastAsia"/>
          <w:sz w:val="21"/>
          <w:szCs w:val="21"/>
        </w:rPr>
        <w:t>计量要求的导出：查</w:t>
      </w:r>
      <w:r>
        <w:rPr>
          <w:rFonts w:hint="eastAsia" w:ascii="宋体" w:hAnsi="宋体"/>
          <w:szCs w:val="21"/>
          <w:lang w:val="en-US" w:eastAsia="zh-CN"/>
        </w:rPr>
        <w:t>关键测量过程高压乙烯外送压力（CPRC427）</w:t>
      </w:r>
      <w:r>
        <w:rPr>
          <w:rFonts w:hint="eastAsia"/>
          <w:sz w:val="21"/>
          <w:szCs w:val="21"/>
          <w:lang w:val="en-US" w:eastAsia="zh-CN"/>
        </w:rPr>
        <w:t>等</w:t>
      </w:r>
      <w:r>
        <w:rPr>
          <w:rFonts w:hint="eastAsia"/>
          <w:sz w:val="21"/>
          <w:szCs w:val="21"/>
        </w:rPr>
        <w:t>测量过程的计量要求识别情况，已经识别测量过程和测量设备计量要求。已配备符合要求的测量设备，测量设备经过校准/检</w:t>
      </w:r>
      <w:r>
        <w:rPr>
          <w:rFonts w:hint="eastAsia" w:hAnsi="Calibri"/>
          <w:szCs w:val="21"/>
        </w:rPr>
        <w:t>定并验证合格。已</w:t>
      </w:r>
      <w:r>
        <w:rPr>
          <w:rFonts w:hint="eastAsia"/>
          <w:sz w:val="21"/>
          <w:szCs w:val="21"/>
        </w:rPr>
        <w:t>对照计量要求实施计量验证，并已形成计量确认记录。具体见《计量要求导出和计量验证记录表》。</w:t>
      </w:r>
    </w:p>
    <w:p>
      <w:pPr>
        <w:tabs>
          <w:tab w:val="left" w:pos="720"/>
        </w:tabs>
        <w:spacing w:line="360" w:lineRule="auto"/>
        <w:ind w:firstLine="420" w:firstLineChars="200"/>
        <w:rPr>
          <w:rFonts w:hint="eastAsia"/>
          <w:sz w:val="21"/>
          <w:szCs w:val="21"/>
          <w:lang w:val="en-US" w:eastAsia="zh-CN"/>
        </w:rPr>
      </w:pPr>
      <w:r>
        <w:rPr>
          <w:rFonts w:hint="eastAsia"/>
          <w:sz w:val="21"/>
          <w:szCs w:val="21"/>
          <w:lang w:val="en-US" w:eastAsia="zh-CN"/>
        </w:rPr>
        <w:t>b)</w:t>
      </w:r>
      <w:r>
        <w:rPr>
          <w:rFonts w:hint="eastAsia"/>
          <w:sz w:val="21"/>
          <w:szCs w:val="21"/>
        </w:rPr>
        <w:t>测量不确定评定：查</w:t>
      </w:r>
      <w:r>
        <w:rPr>
          <w:rFonts w:hint="eastAsia" w:ascii="宋体" w:hAnsi="宋体"/>
          <w:szCs w:val="21"/>
          <w:lang w:val="en-US" w:eastAsia="zh-CN"/>
        </w:rPr>
        <w:t>关键测量过程高压乙烯外送压力(CPRC427)</w:t>
      </w:r>
      <w:r>
        <w:rPr>
          <w:rFonts w:hint="eastAsia"/>
          <w:sz w:val="21"/>
          <w:szCs w:val="21"/>
          <w:lang w:val="en-US" w:eastAsia="zh-CN"/>
        </w:rPr>
        <w:t>等</w:t>
      </w:r>
      <w:r>
        <w:rPr>
          <w:rFonts w:hint="eastAsia"/>
          <w:sz w:val="21"/>
          <w:szCs w:val="21"/>
        </w:rPr>
        <w:t>测量过程的测量不确定度评定记录，</w:t>
      </w:r>
      <w:r>
        <w:rPr>
          <w:rFonts w:hint="eastAsia"/>
          <w:sz w:val="21"/>
          <w:szCs w:val="21"/>
          <w:lang w:val="en-US" w:eastAsia="zh-CN"/>
        </w:rPr>
        <w:t>评定方法正确。</w:t>
      </w:r>
      <w:r>
        <w:rPr>
          <w:rFonts w:hint="eastAsia"/>
          <w:sz w:val="21"/>
          <w:szCs w:val="21"/>
        </w:rPr>
        <w:t>具体见《测量过程</w:t>
      </w:r>
      <w:r>
        <w:rPr>
          <w:rFonts w:hint="eastAsia"/>
          <w:sz w:val="21"/>
          <w:szCs w:val="21"/>
          <w:lang w:val="en-US" w:eastAsia="zh-CN"/>
        </w:rPr>
        <w:t>测量不确定度评定</w:t>
      </w:r>
      <w:r>
        <w:rPr>
          <w:rFonts w:hint="eastAsia"/>
          <w:sz w:val="21"/>
          <w:szCs w:val="21"/>
        </w:rPr>
        <w:t>》</w:t>
      </w:r>
    </w:p>
    <w:p>
      <w:pPr>
        <w:tabs>
          <w:tab w:val="left" w:pos="720"/>
        </w:tabs>
        <w:spacing w:line="360" w:lineRule="auto"/>
        <w:ind w:firstLine="420" w:firstLineChars="200"/>
        <w:rPr>
          <w:rFonts w:hint="eastAsia"/>
          <w:sz w:val="21"/>
          <w:szCs w:val="21"/>
        </w:rPr>
      </w:pPr>
      <w:r>
        <w:rPr>
          <w:rFonts w:hint="eastAsia"/>
          <w:sz w:val="21"/>
          <w:szCs w:val="21"/>
          <w:lang w:val="en-US" w:eastAsia="zh-CN"/>
        </w:rPr>
        <w:t>c)</w:t>
      </w:r>
      <w:r>
        <w:rPr>
          <w:rFonts w:hint="eastAsia"/>
          <w:sz w:val="21"/>
          <w:szCs w:val="21"/>
        </w:rPr>
        <w:t>有效性确认：查</w:t>
      </w:r>
      <w:r>
        <w:rPr>
          <w:rFonts w:hint="eastAsia" w:ascii="宋体" w:hAnsi="宋体"/>
          <w:szCs w:val="21"/>
          <w:lang w:val="en-US" w:eastAsia="zh-CN"/>
        </w:rPr>
        <w:t>关键测量过程高压乙烯外送压力（CPRC427）</w:t>
      </w:r>
      <w:r>
        <w:rPr>
          <w:rFonts w:hint="eastAsia"/>
          <w:sz w:val="21"/>
          <w:szCs w:val="21"/>
        </w:rPr>
        <w:t>测量过程的有效性确认记录，过程有效性确认合格。具体见《测量过程有效性确认表》</w:t>
      </w:r>
    </w:p>
    <w:p>
      <w:pPr>
        <w:tabs>
          <w:tab w:val="left" w:pos="720"/>
        </w:tabs>
        <w:spacing w:line="360" w:lineRule="auto"/>
        <w:ind w:firstLine="420" w:firstLineChars="200"/>
        <w:rPr>
          <w:rFonts w:hint="eastAsia"/>
          <w:sz w:val="21"/>
          <w:szCs w:val="21"/>
        </w:rPr>
      </w:pPr>
      <w:r>
        <w:rPr>
          <w:rFonts w:hint="eastAsia"/>
          <w:sz w:val="21"/>
          <w:szCs w:val="21"/>
          <w:lang w:val="en-US" w:eastAsia="zh-CN"/>
        </w:rPr>
        <w:t>d)</w:t>
      </w:r>
      <w:r>
        <w:rPr>
          <w:rFonts w:hint="eastAsia"/>
          <w:sz w:val="21"/>
          <w:szCs w:val="21"/>
        </w:rPr>
        <w:t>测量过程的控制：查</w:t>
      </w:r>
      <w:r>
        <w:rPr>
          <w:rFonts w:hint="eastAsia" w:ascii="宋体" w:hAnsi="宋体"/>
          <w:szCs w:val="21"/>
          <w:lang w:val="en-US" w:eastAsia="zh-CN"/>
        </w:rPr>
        <w:t>关键测量过程高压乙烯外送压力(CPRC427</w:t>
      </w:r>
      <w:r>
        <w:rPr>
          <w:rFonts w:hint="eastAsia"/>
          <w:sz w:val="21"/>
          <w:szCs w:val="21"/>
        </w:rPr>
        <w:t>测量过程，已经识别测量过程的控制要素，形成对应的记录。具体见《测量过程控制检查表》</w:t>
      </w:r>
    </w:p>
    <w:p>
      <w:pPr>
        <w:tabs>
          <w:tab w:val="left" w:pos="720"/>
        </w:tabs>
        <w:spacing w:line="360" w:lineRule="auto"/>
        <w:ind w:firstLine="420" w:firstLineChars="200"/>
        <w:rPr>
          <w:rFonts w:hint="eastAsia" w:cs="宋体" w:asciiTheme="minorEastAsia" w:hAnsiTheme="minorEastAsia" w:eastAsiaTheme="minorEastAsia"/>
          <w:bCs/>
          <w:kern w:val="0"/>
          <w:szCs w:val="21"/>
          <w:lang w:val="en-US" w:eastAsia="zh-CN"/>
        </w:rPr>
      </w:pPr>
      <w:r>
        <w:rPr>
          <w:rFonts w:hint="eastAsia"/>
          <w:sz w:val="21"/>
          <w:szCs w:val="21"/>
          <w:lang w:val="en-US" w:eastAsia="zh-CN"/>
        </w:rPr>
        <w:t>e)</w:t>
      </w:r>
      <w:r>
        <w:rPr>
          <w:rFonts w:hint="eastAsia"/>
          <w:sz w:val="21"/>
          <w:szCs w:val="21"/>
        </w:rPr>
        <w:t>测量过程的监视：查</w:t>
      </w:r>
      <w:r>
        <w:rPr>
          <w:rFonts w:hint="eastAsia" w:ascii="宋体" w:hAnsi="宋体"/>
          <w:szCs w:val="21"/>
          <w:lang w:val="en-US" w:eastAsia="zh-CN"/>
        </w:rPr>
        <w:t>关键测量过程高压乙烯外送压力(CPRC427</w:t>
      </w:r>
      <w:r>
        <w:rPr>
          <w:rFonts w:hint="eastAsia"/>
          <w:sz w:val="21"/>
          <w:szCs w:val="21"/>
        </w:rPr>
        <w:t>的监视记录：关键测量过程</w:t>
      </w:r>
      <w:r>
        <w:rPr>
          <w:rFonts w:hint="eastAsia"/>
          <w:sz w:val="21"/>
          <w:szCs w:val="21"/>
          <w:lang w:val="en-US" w:eastAsia="zh-CN"/>
        </w:rPr>
        <w:t>持续</w:t>
      </w:r>
      <w:r>
        <w:rPr>
          <w:rFonts w:hint="eastAsia"/>
          <w:sz w:val="21"/>
          <w:szCs w:val="21"/>
        </w:rPr>
        <w:t>监视，具体见提供的监视记录。</w:t>
      </w:r>
      <w:r>
        <w:rPr>
          <w:rFonts w:hint="eastAsia" w:ascii="宋体" w:hAnsi="宋体" w:cs="宋体"/>
          <w:kern w:val="0"/>
          <w:szCs w:val="21"/>
          <w:lang w:val="en-US" w:eastAsia="zh-CN"/>
        </w:rPr>
        <w:t xml:space="preserve"> </w:t>
      </w:r>
    </w:p>
    <w:p>
      <w:pPr>
        <w:widowControl/>
        <w:numPr>
          <w:numId w:val="0"/>
        </w:numPr>
        <w:spacing w:line="276" w:lineRule="auto"/>
        <w:rPr>
          <w:rFonts w:cs="宋体" w:asciiTheme="minorEastAsia" w:hAnsiTheme="minorEastAsia"/>
          <w:bCs/>
          <w:kern w:val="0"/>
          <w:szCs w:val="21"/>
        </w:rPr>
      </w:pPr>
      <w:r>
        <w:rPr>
          <w:rFonts w:hint="eastAsia" w:asciiTheme="minorEastAsia" w:hAnsiTheme="minorEastAsia"/>
          <w:bCs/>
          <w:szCs w:val="21"/>
          <w:lang w:val="en-US" w:eastAsia="zh-CN"/>
        </w:rPr>
        <w:t>5.</w:t>
      </w:r>
      <w:r>
        <w:rPr>
          <w:rFonts w:hint="eastAsia" w:asciiTheme="minorEastAsia" w:hAnsiTheme="minorEastAsia"/>
          <w:bCs/>
          <w:szCs w:val="21"/>
        </w:rPr>
        <w:t>对认证审核时提出的的不符合项的纠正措施情况有表述</w:t>
      </w:r>
      <w:r>
        <w:rPr>
          <w:rFonts w:cs="宋体" w:asciiTheme="minorEastAsia" w:hAnsiTheme="minorEastAsia"/>
          <w:bCs/>
          <w:kern w:val="0"/>
          <w:szCs w:val="21"/>
        </w:rPr>
        <w:t>：</w:t>
      </w:r>
    </w:p>
    <w:p>
      <w:pPr>
        <w:widowControl/>
        <w:spacing w:line="360" w:lineRule="auto"/>
        <w:ind w:firstLine="420" w:firstLineChars="200"/>
        <w:jc w:val="left"/>
        <w:rPr>
          <w:rFonts w:hint="eastAsia"/>
          <w:b w:val="0"/>
          <w:bCs w:val="0"/>
          <w:lang w:val="en-US" w:eastAsia="zh-CN"/>
        </w:rPr>
      </w:pPr>
      <w:r>
        <w:rPr>
          <w:rFonts w:cs="宋体" w:asciiTheme="minorEastAsia" w:hAnsiTheme="minorEastAsia"/>
          <w:kern w:val="0"/>
          <w:szCs w:val="21"/>
        </w:rPr>
        <w:t> </w:t>
      </w:r>
      <w:r>
        <w:rPr>
          <w:rFonts w:hint="eastAsia" w:ascii="宋体" w:hAnsi="宋体"/>
          <w:szCs w:val="21"/>
          <w:lang w:val="en-US" w:eastAsia="zh-CN"/>
        </w:rPr>
        <w:t>2019年不符合01：质检中心</w:t>
      </w:r>
      <w:r>
        <w:rPr>
          <w:rFonts w:hint="eastAsia" w:ascii="宋体" w:hAnsi="宋体" w:cs="宋体"/>
          <w:b/>
          <w:bCs/>
          <w:kern w:val="0"/>
          <w:szCs w:val="21"/>
        </w:rPr>
        <w:t>2019年10月25日</w:t>
      </w:r>
      <w:r>
        <w:rPr>
          <w:rFonts w:hint="eastAsia"/>
          <w:b/>
          <w:bCs/>
        </w:rPr>
        <w:t>抽查了</w:t>
      </w:r>
      <w:r>
        <w:rPr>
          <w:rFonts w:hint="eastAsia"/>
          <w:b/>
          <w:bCs/>
          <w:lang w:val="en-US" w:eastAsia="zh-CN"/>
        </w:rPr>
        <w:t>质检中心</w:t>
      </w:r>
      <w:r>
        <w:rPr>
          <w:rFonts w:hint="eastAsia"/>
          <w:b/>
          <w:bCs/>
        </w:rPr>
        <w:t>留存的“巴士拉”原油样品，现场测量人员用量筒倒取样品后，没有按照规程放入恒温水浴，直接测量计算结果为880.4kg/m3，10月22日原始记录值为881.3kg/m3，超出重复性0.6kg/m3的要求。</w:t>
      </w:r>
      <w:r>
        <w:rPr>
          <w:rFonts w:hint="eastAsia"/>
          <w:b w:val="0"/>
          <w:bCs w:val="0"/>
          <w:lang w:val="en-US" w:eastAsia="zh-CN"/>
        </w:rPr>
        <w:t>针对不符合项，企业举一反三，制定了原油监督班管理补充要求，加强了相关人员培训，平时加强监督检查，（见培训、监督检查记录。）经过验证同意关闭不符合01。</w:t>
      </w:r>
    </w:p>
    <w:p>
      <w:pPr>
        <w:widowControl/>
        <w:spacing w:line="360" w:lineRule="auto"/>
        <w:ind w:firstLine="422" w:firstLineChars="200"/>
        <w:jc w:val="left"/>
        <w:rPr>
          <w:rFonts w:hint="eastAsia" w:ascii="宋体" w:hAnsi="宋体" w:cs="宋体"/>
          <w:b/>
          <w:bCs/>
          <w:kern w:val="0"/>
          <w:szCs w:val="21"/>
        </w:rPr>
      </w:pPr>
      <w:r>
        <w:rPr>
          <w:rFonts w:hint="eastAsia" w:ascii="宋体" w:hAnsi="宋体" w:cs="宋体"/>
          <w:b/>
          <w:bCs/>
          <w:kern w:val="0"/>
          <w:szCs w:val="21"/>
          <w:lang w:val="en-US" w:eastAsia="zh-CN"/>
        </w:rPr>
        <w:t>不符合02：</w:t>
      </w:r>
      <w:r>
        <w:rPr>
          <w:rFonts w:hint="eastAsia" w:ascii="宋体" w:hAnsi="宋体" w:cs="宋体"/>
          <w:b/>
          <w:bCs/>
          <w:kern w:val="0"/>
          <w:szCs w:val="21"/>
        </w:rPr>
        <w:t>2019年10月24日现场查验罐G1106D人工检尺为4.500米，液位计显示4.535米，误差为35</w:t>
      </w:r>
      <w:r>
        <w:rPr>
          <w:rFonts w:ascii="宋体" w:hAnsi="宋体" w:cs="宋体"/>
          <w:b/>
          <w:bCs/>
          <w:kern w:val="0"/>
          <w:szCs w:val="21"/>
        </w:rPr>
        <w:t>mm</w:t>
      </w:r>
      <w:r>
        <w:rPr>
          <w:rFonts w:hint="eastAsia" w:ascii="宋体" w:hAnsi="宋体" w:cs="宋体"/>
          <w:b/>
          <w:bCs/>
          <w:kern w:val="0"/>
          <w:szCs w:val="21"/>
        </w:rPr>
        <w:t>。在罐量检尺过程中量油尺无出厂编号/自编号，无法与检定证书对应。查MES计算软件计算罐量为832.691吨，计量人员不会根据罐容表人工计算罐量，无法对软件计算结果进行验证。</w:t>
      </w:r>
    </w:p>
    <w:p>
      <w:pPr>
        <w:widowControl/>
        <w:spacing w:line="360" w:lineRule="auto"/>
        <w:ind w:firstLine="420" w:firstLineChars="200"/>
        <w:jc w:val="left"/>
        <w:rPr>
          <w:rFonts w:cs="宋体" w:asciiTheme="minorEastAsia" w:hAnsiTheme="minorEastAsia"/>
          <w:kern w:val="0"/>
          <w:szCs w:val="21"/>
        </w:rPr>
      </w:pPr>
      <w:r>
        <w:rPr>
          <w:rFonts w:hint="eastAsia" w:ascii="宋体" w:hAnsi="宋体" w:cs="宋体"/>
          <w:b w:val="0"/>
          <w:bCs w:val="0"/>
          <w:kern w:val="0"/>
          <w:szCs w:val="21"/>
          <w:lang w:val="en-US" w:eastAsia="zh-CN"/>
        </w:rPr>
        <w:t>企业重新配备了量油尺，经过检定（见附件）对操作人员进行培训，2020年审核中核查贮运厂柴油G401B封罐量为5313.879吨，安排计量人员再次复测计量数据为5313.837吨，差量仅为42公斤。不符合项同意关闭。</w:t>
      </w:r>
    </w:p>
    <w:p>
      <w:pPr>
        <w:widowControl/>
        <w:numPr>
          <w:numId w:val="0"/>
        </w:numPr>
        <w:spacing w:line="276" w:lineRule="auto"/>
        <w:ind w:leftChars="0"/>
        <w:rPr>
          <w:rFonts w:hint="eastAsia"/>
          <w:sz w:val="21"/>
          <w:szCs w:val="21"/>
        </w:rPr>
      </w:pPr>
      <w:r>
        <w:rPr>
          <w:rFonts w:hint="eastAsia" w:cs="宋体" w:asciiTheme="minorEastAsia" w:hAnsiTheme="minorEastAsia"/>
          <w:kern w:val="0"/>
          <w:szCs w:val="21"/>
          <w:lang w:val="en-US" w:eastAsia="zh-CN"/>
        </w:rPr>
        <w:t>6.</w:t>
      </w:r>
      <w:r>
        <w:rPr>
          <w:rFonts w:hint="eastAsia" w:cs="宋体" w:asciiTheme="minorEastAsia" w:hAnsiTheme="minorEastAsia"/>
          <w:kern w:val="0"/>
          <w:szCs w:val="21"/>
        </w:rPr>
        <w:t>对</w:t>
      </w:r>
      <w:r>
        <w:rPr>
          <w:rFonts w:hint="eastAsia" w:asciiTheme="minorEastAsia" w:hAnsiTheme="minorEastAsia"/>
          <w:bCs/>
          <w:szCs w:val="21"/>
        </w:rPr>
        <w:t>投诉的处理</w:t>
      </w:r>
      <w:r>
        <w:rPr>
          <w:rFonts w:cs="宋体" w:asciiTheme="minorEastAsia" w:hAnsiTheme="minorEastAsia"/>
          <w:bCs/>
          <w:kern w:val="0"/>
          <w:szCs w:val="21"/>
        </w:rPr>
        <w:t>情况：</w:t>
      </w:r>
    </w:p>
    <w:p>
      <w:pPr>
        <w:widowControl/>
        <w:spacing w:line="360" w:lineRule="auto"/>
        <w:ind w:firstLine="420" w:firstLineChars="200"/>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一年来，企业未有违反法律、法规问题和产品质量问题的投诉或重大质量事故发生。</w:t>
      </w:r>
    </w:p>
    <w:p>
      <w:pPr>
        <w:widowControl/>
        <w:spacing w:line="360" w:lineRule="auto"/>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7.测量管理体系在实现获证客户目标方面的有效性及持续的运作控制情况：</w:t>
      </w:r>
    </w:p>
    <w:p>
      <w:pPr>
        <w:widowControl/>
        <w:spacing w:line="360" w:lineRule="auto"/>
        <w:ind w:firstLine="420" w:firstLineChars="200"/>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公司2020年制定了8项质量目标，各管理部门和运行部每月进行考核评分，查2020年6月扬子石化汇总：质量目标制定、考核满足要求。</w:t>
      </w:r>
    </w:p>
    <w:p>
      <w:pPr>
        <w:widowControl/>
        <w:spacing w:line="360" w:lineRule="auto"/>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8.对企业组织任何变更的审核</w:t>
      </w:r>
    </w:p>
    <w:p>
      <w:pPr>
        <w:widowControl/>
        <w:spacing w:line="360" w:lineRule="auto"/>
        <w:ind w:firstLine="420" w:firstLineChars="200"/>
        <w:jc w:val="left"/>
        <w:rPr>
          <w:rFonts w:hint="default" w:ascii="宋体" w:hAnsi="宋体" w:cs="宋体"/>
          <w:b w:val="0"/>
          <w:bCs w:val="0"/>
          <w:kern w:val="0"/>
          <w:szCs w:val="21"/>
          <w:lang w:val="en-US" w:eastAsia="zh-CN"/>
        </w:rPr>
      </w:pPr>
      <w:r>
        <w:rPr>
          <w:rFonts w:hint="eastAsia" w:ascii="宋体" w:hAnsi="宋体" w:cs="宋体"/>
          <w:b w:val="0"/>
          <w:bCs w:val="0"/>
          <w:kern w:val="0"/>
          <w:szCs w:val="21"/>
          <w:lang w:val="en-US" w:eastAsia="zh-CN"/>
        </w:rPr>
        <w:t>一年来，企业无任何变更。</w:t>
      </w:r>
    </w:p>
    <w:p>
      <w:pPr>
        <w:widowControl/>
        <w:spacing w:line="360" w:lineRule="auto"/>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9.标志的使用和（或）任何其他对认证资格引用的情况：</w:t>
      </w:r>
    </w:p>
    <w:p>
      <w:pPr>
        <w:widowControl/>
        <w:spacing w:line="360" w:lineRule="auto"/>
        <w:ind w:firstLine="420" w:firstLineChars="200"/>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企业测量管理体系标志主要用于企业的形象宣传。</w:t>
      </w:r>
    </w:p>
    <w:p>
      <w:pPr>
        <w:widowControl/>
        <w:spacing w:line="360" w:lineRule="auto"/>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10.本次审核共出具一般不符合3项，未见严重不符合情况：</w:t>
      </w:r>
    </w:p>
    <w:p>
      <w:pPr>
        <w:widowControl/>
        <w:spacing w:line="360" w:lineRule="auto"/>
        <w:jc w:val="left"/>
        <w:rPr>
          <w:rFonts w:ascii="宋体" w:hAnsi="宋体" w:cs="宋体"/>
          <w:kern w:val="0"/>
          <w:szCs w:val="21"/>
        </w:rPr>
      </w:pPr>
      <w:r>
        <w:rPr>
          <w:rFonts w:hint="eastAsia" w:ascii="宋体" w:hAnsi="宋体" w:cs="宋体"/>
          <w:b w:val="0"/>
          <w:bCs w:val="0"/>
          <w:kern w:val="0"/>
          <w:szCs w:val="21"/>
          <w:lang w:val="en-US" w:eastAsia="zh-CN"/>
        </w:rPr>
        <w:t>10.1 在贮运厂发现一台便携式H2S报警仪气体报警仪（编号X10510104），其中一级报警值为10ppm，报警值不符合国标《工作场</w:t>
      </w:r>
      <w:r>
        <w:rPr>
          <w:rFonts w:ascii="Times New Roman" w:hAnsi="Times New Roman"/>
          <w:b/>
          <w:bCs/>
          <w:color w:val="000000"/>
          <w:kern w:val="0"/>
          <w:szCs w:val="21"/>
        </w:rPr>
        <w:t>所有害因素职业接触限值》（GBZ 2.1-2007）中10 mg/m3( 6.58ppm）的报警数据。</w:t>
      </w:r>
      <w:r>
        <w:rPr>
          <w:rFonts w:ascii="宋体" w:hAnsi="宋体" w:cs="宋体"/>
          <w:kern w:val="0"/>
          <w:szCs w:val="21"/>
        </w:rPr>
        <w:t>不符</w:t>
      </w:r>
      <w:r>
        <w:rPr>
          <w:rFonts w:cs="宋体" w:asciiTheme="minorEastAsia" w:hAnsiTheme="minorEastAsia" w:eastAsiaTheme="minorEastAsia"/>
          <w:kern w:val="0"/>
          <w:szCs w:val="21"/>
        </w:rPr>
        <w:t>合</w:t>
      </w:r>
      <w:r>
        <w:rPr>
          <w:rFonts w:hint="eastAsia" w:cs="宋体" w:asciiTheme="minorEastAsia" w:hAnsiTheme="minorEastAsia" w:eastAsiaTheme="minorEastAsia"/>
          <w:kern w:val="0"/>
          <w:szCs w:val="21"/>
        </w:rPr>
        <w:t>认证</w:t>
      </w:r>
      <w:r>
        <w:rPr>
          <w:rStyle w:val="9"/>
          <w:rFonts w:asciiTheme="minorEastAsia" w:hAnsiTheme="minorEastAsia" w:eastAsiaTheme="minorEastAsia"/>
          <w:sz w:val="21"/>
          <w:szCs w:val="21"/>
          <w:lang w:val="zh-CN"/>
        </w:rPr>
        <w:t>审核准则</w:t>
      </w:r>
      <w:r>
        <w:rPr>
          <w:rFonts w:cs="宋体" w:asciiTheme="minorEastAsia" w:hAnsiTheme="minorEastAsia" w:eastAsiaTheme="minorEastAsia"/>
          <w:kern w:val="0"/>
          <w:szCs w:val="21"/>
        </w:rPr>
        <w:t>条</w:t>
      </w:r>
      <w:r>
        <w:rPr>
          <w:rFonts w:ascii="宋体" w:hAnsi="宋体" w:cs="宋体"/>
          <w:kern w:val="0"/>
          <w:szCs w:val="21"/>
        </w:rPr>
        <w:t>款号：_</w:t>
      </w:r>
      <w:r>
        <w:rPr>
          <w:rFonts w:hint="eastAsia" w:ascii="宋体" w:hAnsi="宋体" w:cs="宋体"/>
          <w:kern w:val="0"/>
          <w:szCs w:val="21"/>
          <w:u w:val="single"/>
        </w:rPr>
        <w:t xml:space="preserve"> ISO 10012:2003标准中条7.1.1</w:t>
      </w:r>
      <w:r>
        <w:rPr>
          <w:rFonts w:ascii="宋体" w:hAnsi="宋体" w:cs="宋体"/>
          <w:kern w:val="0"/>
          <w:szCs w:val="21"/>
        </w:rPr>
        <w:t>__</w:t>
      </w:r>
    </w:p>
    <w:p>
      <w:pPr>
        <w:widowControl/>
        <w:spacing w:line="360" w:lineRule="auto"/>
        <w:jc w:val="left"/>
        <w:rPr>
          <w:rFonts w:ascii="宋体" w:hAnsi="宋体" w:cs="宋体"/>
          <w:kern w:val="0"/>
          <w:szCs w:val="21"/>
        </w:rPr>
      </w:pPr>
      <w:r>
        <w:rPr>
          <w:rFonts w:hint="eastAsia" w:ascii="宋体" w:hAnsi="宋体" w:cs="宋体"/>
          <w:b/>
          <w:bCs/>
          <w:color w:val="000000"/>
          <w:kern w:val="0"/>
          <w:szCs w:val="21"/>
          <w:lang w:val="en-US" w:eastAsia="zh-CN"/>
        </w:rPr>
        <w:t>10.2</w:t>
      </w:r>
      <w:r>
        <w:rPr>
          <w:rFonts w:hint="eastAsia" w:ascii="宋体" w:hAnsi="宋体" w:eastAsia="宋体" w:cs="宋体"/>
          <w:b/>
          <w:bCs/>
          <w:kern w:val="0"/>
          <w:sz w:val="21"/>
          <w:szCs w:val="21"/>
        </w:rPr>
        <w:t>在炼油厂电仪车间发现</w:t>
      </w:r>
      <w:r>
        <w:rPr>
          <w:rFonts w:hint="eastAsia" w:ascii="宋体" w:hAnsi="宋体" w:eastAsia="宋体" w:cs="宋体"/>
          <w:b/>
          <w:bCs/>
          <w:color w:val="000000"/>
          <w:kern w:val="0"/>
          <w:sz w:val="21"/>
          <w:szCs w:val="21"/>
        </w:rPr>
        <w:t>计量检定站出具的检定证书编号为C字第C20080004号，测量设备编号为G011258756号硫化氢气体检测仪，示值误差技术要求：±2umol/mol或±10%，检定结果为-3.7，-16.7%，超出了示值误差技术要求，仍出具检定合格证书。</w:t>
      </w:r>
      <w:r>
        <w:rPr>
          <w:rFonts w:ascii="宋体" w:hAnsi="宋体" w:cs="宋体"/>
          <w:kern w:val="0"/>
          <w:szCs w:val="21"/>
        </w:rPr>
        <w:t>不符</w:t>
      </w:r>
      <w:r>
        <w:rPr>
          <w:rFonts w:cs="宋体" w:asciiTheme="minorEastAsia" w:hAnsiTheme="minorEastAsia" w:eastAsiaTheme="minorEastAsia"/>
          <w:kern w:val="0"/>
          <w:szCs w:val="21"/>
        </w:rPr>
        <w:t>合</w:t>
      </w:r>
      <w:r>
        <w:rPr>
          <w:rFonts w:hint="eastAsia" w:cs="宋体" w:asciiTheme="minorEastAsia" w:hAnsiTheme="minorEastAsia" w:eastAsiaTheme="minorEastAsia"/>
          <w:kern w:val="0"/>
          <w:szCs w:val="21"/>
        </w:rPr>
        <w:t>认证</w:t>
      </w:r>
      <w:r>
        <w:rPr>
          <w:rStyle w:val="9"/>
          <w:rFonts w:asciiTheme="minorEastAsia" w:hAnsiTheme="minorEastAsia" w:eastAsiaTheme="minorEastAsia"/>
          <w:sz w:val="21"/>
          <w:szCs w:val="21"/>
          <w:lang w:val="zh-CN"/>
        </w:rPr>
        <w:t>审核准则</w:t>
      </w:r>
      <w:r>
        <w:rPr>
          <w:rFonts w:cs="宋体" w:asciiTheme="minorEastAsia" w:hAnsiTheme="minorEastAsia" w:eastAsiaTheme="minorEastAsia"/>
          <w:kern w:val="0"/>
          <w:szCs w:val="21"/>
        </w:rPr>
        <w:t>条</w:t>
      </w:r>
      <w:r>
        <w:rPr>
          <w:rFonts w:ascii="宋体" w:hAnsi="宋体" w:cs="宋体"/>
          <w:kern w:val="0"/>
          <w:szCs w:val="21"/>
        </w:rPr>
        <w:t>款号：_</w:t>
      </w:r>
      <w:r>
        <w:rPr>
          <w:rFonts w:hint="eastAsia" w:ascii="宋体" w:hAnsi="宋体" w:cs="宋体"/>
          <w:kern w:val="0"/>
          <w:szCs w:val="21"/>
          <w:u w:val="single"/>
        </w:rPr>
        <w:t xml:space="preserve"> ISO 10012:2003标准中条7.</w:t>
      </w:r>
      <w:r>
        <w:rPr>
          <w:rFonts w:hint="eastAsia" w:ascii="宋体" w:hAnsi="宋体" w:cs="宋体"/>
          <w:kern w:val="0"/>
          <w:szCs w:val="21"/>
          <w:u w:val="single"/>
          <w:lang w:val="en-US" w:eastAsia="zh-CN"/>
        </w:rPr>
        <w:t>3.2</w:t>
      </w:r>
      <w:r>
        <w:rPr>
          <w:rFonts w:ascii="宋体" w:hAnsi="宋体" w:cs="宋体"/>
          <w:kern w:val="0"/>
          <w:szCs w:val="21"/>
        </w:rPr>
        <w:t>__</w:t>
      </w:r>
    </w:p>
    <w:p>
      <w:pPr>
        <w:widowControl/>
        <w:spacing w:line="360" w:lineRule="auto"/>
        <w:jc w:val="left"/>
        <w:rPr>
          <w:rFonts w:hint="default"/>
          <w:sz w:val="21"/>
          <w:szCs w:val="21"/>
          <w:lang w:val="en-US" w:eastAsia="zh-CN"/>
        </w:rPr>
      </w:pPr>
      <w:r>
        <w:rPr>
          <w:rFonts w:hint="eastAsia" w:ascii="宋体" w:hAnsi="宋体" w:cs="宋体"/>
          <w:kern w:val="0"/>
          <w:szCs w:val="21"/>
          <w:lang w:val="en-US" w:eastAsia="zh-CN"/>
        </w:rPr>
        <w:t>10.3</w:t>
      </w:r>
      <w:r>
        <w:rPr>
          <w:rFonts w:hint="eastAsia" w:ascii="宋体" w:hAnsi="宋体" w:cs="宋体"/>
          <w:b/>
          <w:bCs/>
          <w:color w:val="000000"/>
          <w:kern w:val="0"/>
          <w:szCs w:val="21"/>
        </w:rPr>
        <w:t>热电厂2020年3月能源计量月报Z100蒸汽（0#）仪表位号BG610（0#）零点飘移量3384吨，未采取有效管控措施和进一步计量确认。</w:t>
      </w:r>
      <w:r>
        <w:rPr>
          <w:rFonts w:ascii="宋体" w:hAnsi="宋体" w:cs="宋体"/>
          <w:kern w:val="0"/>
          <w:szCs w:val="21"/>
        </w:rPr>
        <w:t>不符</w:t>
      </w:r>
      <w:r>
        <w:rPr>
          <w:rFonts w:cs="宋体" w:asciiTheme="minorEastAsia" w:hAnsiTheme="minorEastAsia" w:eastAsiaTheme="minorEastAsia"/>
          <w:kern w:val="0"/>
          <w:szCs w:val="21"/>
        </w:rPr>
        <w:t>合</w:t>
      </w:r>
      <w:r>
        <w:rPr>
          <w:rFonts w:hint="eastAsia" w:cs="宋体" w:asciiTheme="minorEastAsia" w:hAnsiTheme="minorEastAsia" w:eastAsiaTheme="minorEastAsia"/>
          <w:kern w:val="0"/>
          <w:szCs w:val="21"/>
        </w:rPr>
        <w:t>认证</w:t>
      </w:r>
      <w:r>
        <w:rPr>
          <w:rStyle w:val="9"/>
          <w:rFonts w:asciiTheme="minorEastAsia" w:hAnsiTheme="minorEastAsia" w:eastAsiaTheme="minorEastAsia"/>
          <w:sz w:val="21"/>
          <w:szCs w:val="21"/>
          <w:lang w:val="zh-CN"/>
        </w:rPr>
        <w:t>审核准则</w:t>
      </w:r>
      <w:r>
        <w:rPr>
          <w:rFonts w:cs="宋体" w:asciiTheme="minorEastAsia" w:hAnsiTheme="minorEastAsia" w:eastAsiaTheme="minorEastAsia"/>
          <w:kern w:val="0"/>
          <w:szCs w:val="21"/>
        </w:rPr>
        <w:t>条</w:t>
      </w:r>
      <w:r>
        <w:rPr>
          <w:rFonts w:ascii="宋体" w:hAnsi="宋体" w:cs="宋体"/>
          <w:kern w:val="0"/>
          <w:szCs w:val="21"/>
        </w:rPr>
        <w:t>款号：_</w:t>
      </w:r>
      <w:r>
        <w:rPr>
          <w:rFonts w:hint="eastAsia" w:ascii="宋体" w:hAnsi="宋体" w:cs="宋体"/>
          <w:kern w:val="0"/>
          <w:szCs w:val="21"/>
          <w:u w:val="single"/>
        </w:rPr>
        <w:t xml:space="preserve"> ISO 10012:2003标准中条</w:t>
      </w:r>
      <w:r>
        <w:rPr>
          <w:rFonts w:hint="eastAsia" w:ascii="宋体" w:hAnsi="宋体" w:cs="宋体"/>
          <w:kern w:val="0"/>
          <w:szCs w:val="21"/>
          <w:u w:val="single"/>
          <w:lang w:val="en-US" w:eastAsia="zh-CN"/>
        </w:rPr>
        <w:t>6.3.1</w:t>
      </w:r>
      <w:r>
        <w:rPr>
          <w:rFonts w:ascii="宋体" w:hAnsi="宋体" w:cs="宋体"/>
          <w:kern w:val="0"/>
          <w:szCs w:val="21"/>
        </w:rPr>
        <w:t>__</w:t>
      </w:r>
    </w:p>
    <w:p>
      <w:pPr>
        <w:widowControl/>
        <w:spacing w:line="276" w:lineRule="auto"/>
        <w:rPr>
          <w:rFonts w:ascii="宋体" w:hAnsi="宋体" w:eastAsia="宋体" w:cs="宋体"/>
          <w:kern w:val="0"/>
          <w:szCs w:val="28"/>
        </w:rPr>
      </w:pPr>
      <w:r>
        <w:rPr>
          <w:rFonts w:hint="eastAsia" w:ascii="宋体" w:hAnsi="宋体" w:eastAsia="宋体" w:cs="宋体"/>
          <w:b/>
          <w:bCs/>
          <w:kern w:val="0"/>
          <w:szCs w:val="21"/>
        </w:rPr>
        <w:t>三、</w:t>
      </w:r>
      <w:r>
        <w:rPr>
          <w:rFonts w:ascii="宋体" w:hAnsi="宋体" w:eastAsia="宋体" w:cs="宋体"/>
          <w:b/>
          <w:bCs/>
          <w:kern w:val="0"/>
          <w:szCs w:val="21"/>
        </w:rPr>
        <w:t>监督审核结论意见</w:t>
      </w:r>
      <w:r>
        <w:rPr>
          <w:rFonts w:ascii="宋体" w:hAnsi="宋体" w:eastAsia="宋体" w:cs="宋体"/>
          <w:bCs/>
          <w:kern w:val="0"/>
          <w:szCs w:val="21"/>
        </w:rPr>
        <w:t>(</w:t>
      </w:r>
      <w:r>
        <w:rPr>
          <w:rFonts w:ascii="宋体" w:hAnsi="宋体" w:eastAsia="宋体" w:cs="宋体"/>
          <w:kern w:val="0"/>
          <w:szCs w:val="21"/>
        </w:rPr>
        <w:t>含需要说</w:t>
      </w:r>
      <w:r>
        <w:rPr>
          <w:rFonts w:ascii="宋体" w:hAnsi="宋体" w:eastAsia="宋体" w:cs="宋体"/>
          <w:kern w:val="0"/>
          <w:szCs w:val="28"/>
        </w:rPr>
        <w:t>明的事项):</w:t>
      </w:r>
    </w:p>
    <w:p>
      <w:pPr>
        <w:tabs>
          <w:tab w:val="left" w:pos="720"/>
        </w:tabs>
        <w:spacing w:line="360" w:lineRule="auto"/>
        <w:ind w:firstLine="420" w:firstLineChars="200"/>
        <w:rPr>
          <w:rFonts w:hint="eastAsia"/>
          <w:sz w:val="21"/>
          <w:szCs w:val="21"/>
        </w:rPr>
      </w:pPr>
      <w:r>
        <w:rPr>
          <w:rFonts w:hint="eastAsia"/>
          <w:sz w:val="21"/>
          <w:szCs w:val="21"/>
        </w:rPr>
        <w:t>通过20</w:t>
      </w:r>
      <w:r>
        <w:rPr>
          <w:rFonts w:hint="eastAsia"/>
          <w:sz w:val="21"/>
          <w:szCs w:val="21"/>
          <w:lang w:val="en-US" w:eastAsia="zh-CN"/>
        </w:rPr>
        <w:t>20</w:t>
      </w:r>
      <w:r>
        <w:rPr>
          <w:rFonts w:hint="eastAsia"/>
          <w:sz w:val="21"/>
          <w:szCs w:val="21"/>
        </w:rPr>
        <w:t>年</w:t>
      </w:r>
      <w:r>
        <w:rPr>
          <w:rFonts w:hint="eastAsia"/>
          <w:sz w:val="21"/>
          <w:szCs w:val="21"/>
          <w:lang w:val="en-US" w:eastAsia="zh-CN"/>
        </w:rPr>
        <w:t>10</w:t>
      </w:r>
      <w:r>
        <w:rPr>
          <w:rFonts w:hint="eastAsia"/>
          <w:sz w:val="21"/>
          <w:szCs w:val="21"/>
        </w:rPr>
        <w:t>月</w:t>
      </w:r>
      <w:r>
        <w:rPr>
          <w:rFonts w:hint="eastAsia"/>
          <w:sz w:val="21"/>
          <w:szCs w:val="21"/>
          <w:lang w:val="en-US" w:eastAsia="zh-CN"/>
        </w:rPr>
        <w:t>(14-15)</w:t>
      </w:r>
      <w:r>
        <w:rPr>
          <w:rFonts w:hint="eastAsia"/>
          <w:sz w:val="21"/>
          <w:szCs w:val="21"/>
        </w:rPr>
        <w:t>日，对中国石化扬子石油化工有限公司/中国石化集团资产经营管理有限公司扬子石化分公司测量管理现场监督审核.验证了公司在</w:t>
      </w:r>
      <w:r>
        <w:rPr>
          <w:rFonts w:hint="eastAsia"/>
          <w:sz w:val="21"/>
          <w:szCs w:val="21"/>
          <w:lang w:val="en-US" w:eastAsia="zh-CN"/>
        </w:rPr>
        <w:t>去年一</w:t>
      </w:r>
      <w:r>
        <w:rPr>
          <w:rFonts w:hint="eastAsia"/>
          <w:sz w:val="21"/>
          <w:szCs w:val="21"/>
        </w:rPr>
        <w:t>年内，</w:t>
      </w:r>
      <w:r>
        <w:rPr>
          <w:rFonts w:hint="eastAsia"/>
          <w:sz w:val="21"/>
          <w:szCs w:val="21"/>
          <w:lang w:val="en-US" w:eastAsia="zh-CN"/>
        </w:rPr>
        <w:t>测量管理体系运作情况，</w:t>
      </w:r>
      <w:r>
        <w:rPr>
          <w:rFonts w:hint="eastAsia"/>
          <w:sz w:val="21"/>
          <w:szCs w:val="21"/>
        </w:rPr>
        <w:t>公司领导重视体系运行和管理，体系文件得到有效实施，</w:t>
      </w:r>
      <w:r>
        <w:rPr>
          <w:rFonts w:hint="eastAsia"/>
          <w:sz w:val="21"/>
          <w:szCs w:val="21"/>
          <w:lang w:val="en-US" w:eastAsia="zh-CN"/>
        </w:rPr>
        <w:t>企业管理逐渐规范，在防范企业效益流失方面作用明显，</w:t>
      </w:r>
      <w:r>
        <w:rPr>
          <w:rFonts w:hint="eastAsia"/>
          <w:sz w:val="21"/>
          <w:szCs w:val="21"/>
        </w:rPr>
        <w:t>关键测量过程</w:t>
      </w:r>
      <w:r>
        <w:rPr>
          <w:rFonts w:hint="eastAsia"/>
          <w:sz w:val="21"/>
          <w:szCs w:val="21"/>
          <w:lang w:val="en-US" w:eastAsia="zh-CN"/>
        </w:rPr>
        <w:t>过程</w:t>
      </w:r>
      <w:r>
        <w:rPr>
          <w:rFonts w:hint="eastAsia"/>
          <w:sz w:val="21"/>
          <w:szCs w:val="21"/>
        </w:rPr>
        <w:t>受控、监视方法正确有效，重要测量人员能力受控，测量设备、测量环境、测量软件、测量记录及外部供方管理等各项工作，</w:t>
      </w:r>
      <w:r>
        <w:rPr>
          <w:rFonts w:hint="eastAsia"/>
          <w:sz w:val="21"/>
          <w:szCs w:val="21"/>
          <w:lang w:val="en-US" w:eastAsia="zh-CN"/>
        </w:rPr>
        <w:t>现场抽样数据一致性较好。</w:t>
      </w:r>
      <w:r>
        <w:rPr>
          <w:rFonts w:hint="eastAsia"/>
          <w:sz w:val="21"/>
          <w:szCs w:val="21"/>
        </w:rPr>
        <w:t>综上所述，审核组认为中国石化扬子石油化工有限公司/中国石化集团资产经营管理有限公司扬子石化分公司测量管理体系，符合GB/T 19022-2003标准要求，对体系运行具有持续的有效性、符合性予以肯定。建议报请国标联合认证有限公司批准通过监督审核。</w:t>
      </w:r>
    </w:p>
    <w:p>
      <w:pPr>
        <w:widowControl/>
        <w:spacing w:line="276" w:lineRule="auto"/>
        <w:rPr>
          <w:rFonts w:ascii="宋体" w:hAnsi="宋体" w:eastAsia="宋体" w:cs="宋体"/>
          <w:kern w:val="0"/>
          <w:szCs w:val="28"/>
        </w:rPr>
      </w:pPr>
    </w:p>
    <w:p>
      <w:pPr>
        <w:widowControl/>
        <w:spacing w:line="276" w:lineRule="auto"/>
        <w:rPr>
          <w:rFonts w:ascii="宋体" w:hAnsi="宋体" w:eastAsia="宋体" w:cs="宋体"/>
          <w:kern w:val="0"/>
          <w:szCs w:val="28"/>
        </w:rPr>
      </w:pPr>
    </w:p>
    <w:p>
      <w:pPr>
        <w:widowControl/>
        <w:spacing w:line="276" w:lineRule="auto"/>
        <w:rPr>
          <w:rFonts w:ascii="宋体" w:hAnsi="宋体" w:eastAsia="宋体" w:cs="宋体"/>
          <w:kern w:val="0"/>
          <w:szCs w:val="28"/>
        </w:rPr>
      </w:pPr>
    </w:p>
    <w:p>
      <w:pPr>
        <w:widowControl/>
        <w:spacing w:line="276" w:lineRule="auto"/>
        <w:rPr>
          <w:rFonts w:ascii="宋体" w:hAnsi="宋体" w:eastAsia="宋体" w:cs="宋体"/>
          <w:kern w:val="0"/>
          <w:szCs w:val="28"/>
        </w:rPr>
      </w:pPr>
      <w:bookmarkStart w:id="11" w:name="_GoBack"/>
      <w:bookmarkEnd w:id="11"/>
    </w:p>
    <w:p>
      <w:pPr>
        <w:widowControl/>
        <w:spacing w:line="276" w:lineRule="auto"/>
        <w:ind w:right="945"/>
        <w:jc w:val="right"/>
        <w:rPr>
          <w:rFonts w:ascii="宋体" w:hAnsi="宋体" w:eastAsia="宋体" w:cs="宋体"/>
          <w:kern w:val="0"/>
          <w:szCs w:val="28"/>
        </w:rPr>
      </w:pPr>
      <w:r>
        <w:rPr>
          <w:rFonts w:ascii="宋体" w:hAnsi="宋体" w:eastAsia="宋体" w:cs="宋体"/>
          <w:kern w:val="0"/>
          <w:szCs w:val="28"/>
        </w:rPr>
        <w:t>审核员 （签字）：</w:t>
      </w: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：日期：</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mc:AlternateContent>
        <mc:Choice Requires="wps">
          <w:drawing>
            <wp:anchor distT="0" distB="0" distL="114300" distR="114300" simplePos="0" relativeHeight="251658240" behindDoc="0" locked="0" layoutInCell="1" allowOverlap="1">
              <wp:simplePos x="0" y="0"/>
              <wp:positionH relativeFrom="column">
                <wp:posOffset>3669665</wp:posOffset>
              </wp:positionH>
              <wp:positionV relativeFrom="paragraph">
                <wp:posOffset>198120</wp:posOffset>
              </wp:positionV>
              <wp:extent cx="2208530" cy="261620"/>
              <wp:effectExtent l="0" t="0" r="1270" b="5080"/>
              <wp:wrapNone/>
              <wp:docPr id="1" name="文本框 1"/>
              <wp:cNvGraphicFramePr/>
              <a:graphic xmlns:a="http://schemas.openxmlformats.org/drawingml/2006/main">
                <a:graphicData uri="http://schemas.microsoft.com/office/word/2010/wordprocessingShape">
                  <wps:wsp>
                    <wps:cNvSpPr txBox="1"/>
                    <wps:spPr>
                      <a:xfrm>
                        <a:off x="0" y="0"/>
                        <a:ext cx="2208530" cy="261620"/>
                      </a:xfrm>
                      <a:prstGeom prst="rect">
                        <a:avLst/>
                      </a:prstGeom>
                      <a:solidFill>
                        <a:srgbClr val="FFFFFF"/>
                      </a:solidFill>
                      <a:ln>
                        <a:noFill/>
                      </a:ln>
                    </wps:spPr>
                    <wps:txb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wps:txbx>
                    <wps:bodyPr upright="1"/>
                  </wps:wsp>
                </a:graphicData>
              </a:graphic>
            </wp:anchor>
          </w:drawing>
        </mc:Choice>
        <mc:Fallback>
          <w:pict>
            <v:shape id="_x0000_s1026" o:spid="_x0000_s1026" o:spt="202" type="#_x0000_t202" style="position:absolute;left:0pt;margin-left:288.95pt;margin-top:15.6pt;height:20.6pt;width:173.9pt;z-index:251658240;mso-width-relative:page;mso-height-relative:page;" fillcolor="#FFFFFF" filled="t" stroked="f" coordsize="21600,21600" o:gfxdata="UEsDBAoAAAAAAIdO4kAAAAAAAAAAAAAAAAAEAAAAZHJzL1BLAwQUAAAACACHTuJApRogH9cAAAAJ&#10;AQAADwAAAGRycy9kb3ducmV2LnhtbE2PQU7DMBBF90jcwRokNog6CU1NQiaVQAKxbekBJvE0iYjt&#10;KHab9vaYFSxH/+n/N9X2YkZx5tkPziKkqwQE29bpwXYIh6/3x2cQPpDVNDrLCFf2sK1vbyoqtVvs&#10;js/70IlYYn1JCH0IUymlb3s25FduYhuzo5sNhXjOndQzLbHcjDJLko00NNi40NPEbz233/uTQTh+&#10;Lg95sTQf4aB2680rDapxV8T7uzR5ARH4Ev5g+NWP6lBHp8adrPZiRMiVKiKK8JRmICJQZLkC0SCo&#10;bA2yruT/D+ofUEsDBBQAAAAIAIdO4kAEryY4wAEAAHcDAAAOAAAAZHJzL2Uyb0RvYy54bWytU82O&#10;0zAQviPxDpbvNGkQ1apqutJSlQsCpIUHcB0nseQ/zbhN+gLwBpy4cOe5+hyMndCF5bKHzSGxZz5/&#10;M983zuZ2tIadFKD2rubLRcmZctI32nU1//J5/+qGM4zCNcJ4p2p+Vshvty9fbIawVpXvvWkUMCJx&#10;uB5CzfsYw7ooUPbKClz4oBwlWw9WRNpCVzQgBmK3pqjKclUMHpoAXipEiu6mJJ8Z4SmEvm21VDsv&#10;j1a5OLGCMiKSJOx1QL7N3batkvFj26KKzNSclMb8piK0PqR3sd2IdQci9FrOLYintPBIkxXaUdEr&#10;1U5EwY6g/6OyWoJH38aF9LaYhGRHSMWyfOTNfS+CylrIagxX0/H5aOWH0ydguqGbwJkTlgZ++f7t&#10;8uPX5edXtkz2DAHXhLoPhIvjnR8TdI4jBZPqsQWbvqSHUZ7MPV/NVWNkkoJVVd68eU0pSblqtVxV&#10;2f3i4XQAjO+Utywtag40vOypOL3HSBUJ+geSiqE3utlrY/IGusNbA+wkaND7/KQm6cg/MOMS2Pl0&#10;bEqnSJE0TlrSKo6HcRZ48M2ZdB8D6K6nnrLyDKd5ZPr57qSB/73PpA//y/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pRogH9cAAAAJAQAADwAAAAAAAAABACAAAAAiAAAAZHJzL2Rvd25yZXYueG1s&#10;UEsBAhQAFAAAAAgAh07iQASvJjjAAQAAdwMAAA4AAAAAAAAAAQAgAAAAJgEAAGRycy9lMm9Eb2Mu&#10;eG1sUEsFBgAAAAAGAAYAWQEAAFgFAAAAAA==&#10;">
              <v:fill on="t" focussize="0,0"/>
              <v:stroke on="f"/>
              <v:imagedata o:title=""/>
              <o:lock v:ext="edit" aspectratio="f"/>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mc:Fallback>
      </mc:AlternateConten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column">
                <wp:posOffset>-300990</wp:posOffset>
              </wp:positionH>
              <wp:positionV relativeFrom="paragraph">
                <wp:posOffset>29845</wp:posOffset>
              </wp:positionV>
              <wp:extent cx="5849620" cy="8890"/>
              <wp:effectExtent l="0" t="4445" r="5080" b="5715"/>
              <wp:wrapNone/>
              <wp:docPr id="4" name="直线 3"/>
              <wp:cNvGraphicFramePr/>
              <a:graphic xmlns:a="http://schemas.openxmlformats.org/drawingml/2006/main">
                <a:graphicData uri="http://schemas.microsoft.com/office/word/2010/wordprocessingShape">
                  <wps:wsp>
                    <wps:cNvSpPr/>
                    <wps:spPr>
                      <a:xfrm>
                        <a:off x="0" y="0"/>
                        <a:ext cx="5849620" cy="88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23.7pt;margin-top:2.35pt;height:0.7pt;width:460.6pt;z-index:251659264;mso-width-relative:page;mso-height-relative:page;" filled="f" stroked="t" coordsize="21600,21600" o:gfxdata="UEsDBAoAAAAAAIdO4kAAAAAAAAAAAAAAAAAEAAAAZHJzL1BLAwQUAAAACACHTuJAGESgANYAAAAH&#10;AQAADwAAAGRycy9kb3ducmV2LnhtbE2PvU7DQBCEeyTe4bRINFFy58SKI+NzCsAdDQFEu7EX28K3&#10;5/guP/D0LBWUoxnNfFNsL25QJ5pC79lCsjCgiGvf9NxaeH2p5htQISI3OHgmC18UYFteXxWYN/7M&#10;z3TaxVZJCYccLXQxjrnWoe7IYVj4kVi8Dz85jCKnVjcTnqXcDXppzFo77FkWOhzpvqP6c3d0FkL1&#10;Rofqe1bPzPuq9bQ8PDw9orW3N4m5AxXpEv/C8Isv6FAK094fuQlqsDBPs1SiFtIMlPibbCVX9hbW&#10;Ceiy0P/5yx9QSwMEFAAAAAgAh07iQOo6grjsAQAA3gMAAA4AAABkcnMvZTJvRG9jLnhtbK1TS44T&#10;MRDdI3EHy3vSSZiMklY6syAMGwQjDRygYru7Lfknl5NOzsI1WLHhOHMNyu6QgWGTBb1wl13lV/Ve&#10;ldd3R2vYQUXU3jV8NplyppzwUruu4V+/3L9ZcoYJnATjnWr4SSG/27x+tR5Crea+90aqyAjEYT2E&#10;hvcphbqqUPTKAk58UI6crY8WEm1jV8kIA6FbU82n09tq8FGG6IVCpNPt6ORnxHgNoG9bLdTWi71V&#10;Lo2oURlIRAl7HZBvSrVtq0T63LaoEjMNJ6aprJSE7F1eq80a6i5C6LU4lwDXlPCCkwXtKOkFagsJ&#10;2D7qf6CsFtGjb9NEeFuNRIoixGI2faHNYw9BFS4kNYaL6Pj/YMWnw0NkWjb8hjMHlhr+9O3704+f&#10;7G3WZghYU8hjeIjnHZKZiR7baPOfKLBj0fN00VMdExN0uFjerG7nJLUg33K5KnJXz3dDxPRBecuy&#10;0XCjXWYLNRw+YqJ8FPo7JB8bx4aGrxbzBSECjV5LLSfTBiofXVfuojda3mtj8g2M3e6diewAuf3l&#10;y6wI96+wnGQL2I9xxTUORq9AvneSpVMgYRy9B55LsEpyZhQ9n2wRINQJtLkmklIbRxVkYUcps7Xz&#10;8kRt2Ieou56UmJUqs4faXuo9j2ieqz/3Ben5WW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hE&#10;oADWAAAABwEAAA8AAAAAAAAAAQAgAAAAIgAAAGRycy9kb3ducmV2LnhtbFBLAQIUABQAAAAIAIdO&#10;4kDqOoK47AEAAN4DAAAOAAAAAAAAAAEAIAAAACUBAABkcnMvZTJvRG9jLnhtbFBLBQYAAAAABgAG&#10;AFkBAACDBQAAAAA=&#10;">
              <v:fill on="f" focussize="0,0"/>
              <v:stroke color="#000000" joinstyle="round"/>
              <v:imagedata o:title=""/>
              <o:lock v:ext="edit" aspectratio="f"/>
            </v:line>
          </w:pict>
        </mc:Fallback>
      </mc:AlternateContent>
    </w:r>
    <w:bookmarkEnd w:id="10"/>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B41827"/>
    <w:rsid w:val="503F5DA3"/>
    <w:rsid w:val="79A027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4</TotalTime>
  <ScaleCrop>false</ScaleCrop>
  <LinksUpToDate>false</LinksUpToDate>
  <CharactersWithSpaces>540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白鹭</cp:lastModifiedBy>
  <cp:lastPrinted>2017-09-01T06:24:00Z</cp:lastPrinted>
  <dcterms:modified xsi:type="dcterms:W3CDTF">2020-10-18T09:29:45Z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