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北京军合过滤技术有限公司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GB/T19001-2016/ISO9001:2015</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0458-2020-Q</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质量管理体系：初次认证第（二）阶段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朱晓丽</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2018-N1QMS-2205805</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夏爱俭</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2020-N1QMS-1226516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