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管理体系远程审核报告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青岛威尔赫义齿科技有限公司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bookmarkStart w:id="4" w:name="审核依据"/>
      <w:r>
        <w:rPr>
          <w:rFonts w:hint="eastAsia" w:ascii="宋体" w:hAnsi="宋体"/>
          <w:b/>
          <w:color w:val="000000" w:themeColor="text1"/>
          <w:sz w:val="26"/>
          <w:szCs w:val="26"/>
        </w:rPr>
        <w:t>：</w:t>
      </w:r>
      <w:r>
        <w:rPr>
          <w:rFonts w:hint="eastAsia" w:ascii="宋体" w:hAnsi="宋体"/>
          <w:b/>
          <w:color w:val="000000" w:themeColor="text1"/>
          <w:spacing w:val="-10"/>
          <w:sz w:val="20"/>
          <w:szCs w:val="20"/>
        </w:rPr>
        <w:t>GB/T 24001-2016idtISO 14001:2015</w:t>
      </w:r>
      <w:bookmarkEnd w:id="4"/>
    </w:p>
    <w:p>
      <w:pPr>
        <w:ind w:left="-851"/>
        <w:rPr>
          <w:rFonts w:ascii="宋体" w:hAnsi="宋体"/>
          <w:b/>
          <w:color w:val="000000" w:themeColor="text1"/>
          <w:sz w:val="26"/>
          <w:szCs w:val="26"/>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青岛威尔赫义齿科技有限公司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b/>
                <w:color w:val="000000" w:themeColor="text1"/>
                <w:sz w:val="20"/>
                <w:szCs w:val="20"/>
                <w:lang w:val="en-US"/>
              </w:rPr>
            </w:pPr>
            <w:r>
              <w:rPr>
                <w:rFonts w:ascii="宋体" w:hAnsi="宋体"/>
                <w:b/>
                <w:color w:val="000000" w:themeColor="text1"/>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山东省青岛市城阳区春阳路88号天安数码城5号楼14层</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266100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山东省青岛市城阳区春阳路88号天安数码城5号楼14层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266100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bCs/>
                <w:color w:val="000000" w:themeColor="text1"/>
                <w:sz w:val="21"/>
                <w:szCs w:val="21"/>
              </w:rPr>
            </w:pPr>
            <w:r>
              <w:rPr>
                <w:rFonts w:ascii="宋体" w:hAnsi="宋体"/>
                <w:b/>
                <w:color w:val="000000" w:themeColor="text1"/>
                <w:sz w:val="20"/>
                <w:szCs w:val="20"/>
              </w:rPr>
              <w:t>王艳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0532-81937123</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r>
              <w:rPr>
                <w:rFonts w:ascii="宋体" w:hAnsi="宋体"/>
                <w:b/>
                <w:color w:val="000000" w:themeColor="text1"/>
                <w:sz w:val="20"/>
                <w:szCs w:val="20"/>
              </w:rPr>
              <w:t>0532-81937123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bCs/>
                <w:color w:val="000000" w:themeColor="text1"/>
                <w:sz w:val="21"/>
                <w:szCs w:val="21"/>
              </w:rPr>
            </w:pPr>
            <w:r>
              <w:rPr>
                <w:rFonts w:ascii="宋体" w:hAnsi="宋体"/>
                <w:b/>
                <w:color w:val="000000" w:themeColor="text1"/>
                <w:sz w:val="20"/>
                <w:szCs w:val="20"/>
              </w:rPr>
              <w:t>马林</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马林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二类口腔科材料（义齿）的销售及其相关的环境管理活动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7" w:name="专业代码"/>
            <w:r>
              <w:rPr>
                <w:rFonts w:ascii="宋体" w:hAnsi="宋体"/>
                <w:b/>
                <w:color w:val="000000" w:themeColor="text1"/>
                <w:sz w:val="20"/>
                <w:szCs w:val="20"/>
              </w:rPr>
              <w:t>29.08.06</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8" w:name="体系运行时间"/>
            <w:bookmarkEnd w:id="8"/>
            <w:r>
              <w:rPr>
                <w:rFonts w:ascii="宋体" w:hAnsi="宋体"/>
                <w:b/>
                <w:color w:val="000000" w:themeColor="text1"/>
                <w:sz w:val="20"/>
                <w:szCs w:val="20"/>
              </w:rPr>
              <w:t>2020-04-10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五、远程审核活动综述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管理层</w:t>
            </w:r>
          </w:p>
        </w:tc>
        <w:tc>
          <w:tcPr>
            <w:tcW w:w="6804" w:type="dxa"/>
          </w:tcPr>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组织的内外部环境；相关方需求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行政部</w:t>
            </w:r>
          </w:p>
        </w:tc>
        <w:tc>
          <w:tcPr>
            <w:tcW w:w="6804" w:type="dxa"/>
          </w:tcPr>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组织的角色、职责和权限；应对风险和机遇的措施（总则）；环境因素识别及评价；合格义务；措施的策划；环境目标及其实现的策划；能力/意识；沟通交流和协商；创建和更新/文件化信息的控制；运行策划及控制；应急准备和响应；监视测量分析和评价（总则）；合规性评价；内部审核，不符合和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供销部</w:t>
            </w:r>
          </w:p>
        </w:tc>
        <w:tc>
          <w:tcPr>
            <w:tcW w:w="6804" w:type="dxa"/>
          </w:tcPr>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组织的角色、职责和权限；环境因素识别及评价；环境目标及其实现的策划；运行过程的策划控制；应急准备和响应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技质部</w:t>
            </w:r>
          </w:p>
        </w:tc>
        <w:tc>
          <w:tcPr>
            <w:tcW w:w="6804" w:type="dxa"/>
          </w:tcPr>
          <w:p>
            <w:pPr>
              <w:rPr>
                <w:rFonts w:hint="default" w:ascii="宋体" w:eastAsia="宋体" w:cs="宋体" w:hAnsiTheme="minorHAnsi"/>
                <w:color w:val="000000" w:themeColor="text1"/>
                <w:kern w:val="0"/>
                <w:sz w:val="20"/>
                <w:szCs w:val="20"/>
                <w:lang w:val="en-US" w:eastAsia="zh-CN"/>
              </w:rPr>
            </w:pPr>
            <w:r>
              <w:rPr>
                <w:rFonts w:hint="eastAsia" w:ascii="宋体" w:eastAsia="宋体" w:cs="宋体" w:hAnsiTheme="minorHAnsi"/>
                <w:color w:val="000000" w:themeColor="text1"/>
                <w:kern w:val="0"/>
                <w:sz w:val="20"/>
                <w:szCs w:val="20"/>
              </w:rPr>
              <w:t>组织的角色、职责和权限；了解</w:t>
            </w:r>
            <w:r>
              <w:rPr>
                <w:rFonts w:hint="eastAsia" w:ascii="宋体" w:eastAsia="宋体" w:cs="宋体" w:hAnsiTheme="minorHAnsi"/>
                <w:color w:val="000000" w:themeColor="text1"/>
                <w:kern w:val="0"/>
                <w:sz w:val="20"/>
                <w:szCs w:val="20"/>
                <w:lang w:val="en-US" w:eastAsia="zh-CN"/>
              </w:rPr>
              <w:t>销售产品</w:t>
            </w:r>
            <w:r>
              <w:rPr>
                <w:rFonts w:hint="eastAsia" w:ascii="宋体" w:eastAsia="宋体" w:cs="宋体" w:hAnsiTheme="minorHAnsi"/>
                <w:color w:val="000000" w:themeColor="text1"/>
                <w:kern w:val="0"/>
                <w:sz w:val="20"/>
                <w:szCs w:val="20"/>
              </w:rPr>
              <w:t>与服务工艺、检验控制、特殊过程识别</w:t>
            </w:r>
            <w:r>
              <w:rPr>
                <w:rFonts w:hint="eastAsia" w:ascii="宋体" w:eastAsia="宋体" w:cs="宋体" w:hAnsiTheme="minorHAnsi"/>
                <w:color w:val="000000" w:themeColor="text1"/>
                <w:kern w:val="0"/>
                <w:sz w:val="20"/>
                <w:szCs w:val="20"/>
                <w:lang w:val="en-US" w:eastAsia="zh-CN"/>
              </w:rPr>
              <w:t>的</w:t>
            </w:r>
            <w:r>
              <w:rPr>
                <w:rFonts w:hint="eastAsia" w:ascii="宋体" w:eastAsia="宋体" w:cs="宋体" w:hAnsiTheme="minorHAnsi"/>
                <w:color w:val="000000" w:themeColor="text1"/>
                <w:kern w:val="0"/>
                <w:sz w:val="20"/>
                <w:szCs w:val="20"/>
              </w:rPr>
              <w:t>环境因素的识别评价情况</w:t>
            </w:r>
            <w:r>
              <w:rPr>
                <w:rFonts w:hint="eastAsia" w:ascii="宋体" w:eastAsia="宋体" w:cs="宋体" w:hAnsiTheme="minorHAnsi"/>
                <w:color w:val="000000" w:themeColor="text1"/>
                <w:kern w:val="0"/>
                <w:sz w:val="20"/>
                <w:szCs w:val="20"/>
                <w:lang w:eastAsia="zh-CN"/>
              </w:rPr>
              <w:t>、</w:t>
            </w:r>
            <w:r>
              <w:rPr>
                <w:rFonts w:hint="eastAsia" w:ascii="宋体" w:eastAsia="宋体" w:cs="宋体" w:hAnsiTheme="minorHAnsi"/>
                <w:color w:val="000000" w:themeColor="text1"/>
                <w:kern w:val="0"/>
                <w:sz w:val="20"/>
                <w:szCs w:val="20"/>
              </w:rPr>
              <w:t>目标、指标及管理方案的可行性</w:t>
            </w:r>
            <w:r>
              <w:rPr>
                <w:rFonts w:hint="eastAsia" w:ascii="宋体" w:eastAsia="宋体" w:cs="宋体" w:hAnsiTheme="minorHAnsi"/>
                <w:color w:val="000000" w:themeColor="text1"/>
                <w:kern w:val="0"/>
                <w:sz w:val="20"/>
                <w:szCs w:val="20"/>
                <w:lang w:eastAsia="zh-CN"/>
              </w:rPr>
              <w:t>、</w:t>
            </w:r>
            <w:r>
              <w:rPr>
                <w:rFonts w:hint="eastAsia" w:ascii="宋体" w:eastAsia="宋体" w:cs="宋体" w:hAnsiTheme="minorHAnsi"/>
                <w:color w:val="000000" w:themeColor="text1"/>
                <w:kern w:val="0"/>
                <w:sz w:val="20"/>
                <w:szCs w:val="20"/>
                <w:lang w:val="en-US" w:eastAsia="zh-CN"/>
              </w:rPr>
              <w:t>环境运行情况、应急情况</w:t>
            </w:r>
          </w:p>
          <w:p>
            <w:pPr>
              <w:rPr>
                <w:rFonts w:hint="eastAsia" w:ascii="宋体" w:eastAsia="宋体" w:cs="宋体" w:hAnsiTheme="minorHAnsi"/>
                <w:color w:val="000000" w:themeColor="text1"/>
                <w:kern w:val="0"/>
                <w:sz w:val="20"/>
                <w:szCs w:val="20"/>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分场所名称</w:t>
            </w:r>
          </w:p>
        </w:tc>
        <w:tc>
          <w:tcPr>
            <w:tcW w:w="3249" w:type="dxa"/>
          </w:tcPr>
          <w:p>
            <w:pPr>
              <w:spacing w:line="360" w:lineRule="auto"/>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职能或过程:</w:t>
            </w:r>
          </w:p>
        </w:tc>
        <w:tc>
          <w:tcPr>
            <w:tcW w:w="3555" w:type="dxa"/>
          </w:tcPr>
          <w:p>
            <w:pPr>
              <w:spacing w:line="360" w:lineRule="auto"/>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注册/经营地</w:t>
            </w:r>
          </w:p>
        </w:tc>
        <w:tc>
          <w:tcPr>
            <w:tcW w:w="3249" w:type="dxa"/>
          </w:tcPr>
          <w:p>
            <w:pPr>
              <w:spacing w:line="360"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产品销售/技术服务</w:t>
            </w:r>
          </w:p>
        </w:tc>
        <w:tc>
          <w:tcPr>
            <w:tcW w:w="3555" w:type="dxa"/>
          </w:tcPr>
          <w:p>
            <w:pPr>
              <w:spacing w:line="360" w:lineRule="auto"/>
              <w:jc w:val="both"/>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bookmarkStart w:id="9" w:name="审核范围"/>
            <w:r>
              <w:t>二类口腔科材料（义齿）的销售及其相关的环境管理活动</w:t>
            </w:r>
            <w:bookmarkEnd w:id="9"/>
          </w:p>
        </w:tc>
        <w:tc>
          <w:tcPr>
            <w:tcW w:w="2519" w:type="dxa"/>
          </w:tcPr>
          <w:p>
            <w:pPr>
              <w:rPr>
                <w:rFonts w:hint="default" w:eastAsia="宋体"/>
                <w:b/>
                <w:color w:val="000000" w:themeColor="text1"/>
                <w:sz w:val="20"/>
                <w:szCs w:val="20"/>
                <w:lang w:val="en-US" w:eastAsia="zh-CN"/>
              </w:rPr>
            </w:pPr>
            <w:r>
              <w:rPr>
                <w:b/>
                <w:color w:val="000000" w:themeColor="text1"/>
                <w:sz w:val="20"/>
                <w:szCs w:val="20"/>
              </w:rPr>
              <w:t>销售</w:t>
            </w:r>
            <w:r>
              <w:rPr>
                <w:rFonts w:hint="eastAsia"/>
                <w:b/>
                <w:color w:val="000000" w:themeColor="text1"/>
                <w:sz w:val="20"/>
                <w:szCs w:val="20"/>
                <w:lang w:val="en-US" w:eastAsia="zh-CN"/>
              </w:rPr>
              <w:t>/技术服务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环境保护法、环境影响评价法、消防法、环境噪声污染防治法、固体废物污染环境防治法、固体废弃物污染环境防治法</w:t>
            </w:r>
          </w:p>
        </w:tc>
      </w:tr>
    </w:tbl>
    <w:p>
      <w:pPr>
        <w:spacing w:line="360" w:lineRule="auto"/>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10"/>
      <w:r>
        <w:rPr>
          <w:rFonts w:hint="eastAsia"/>
          <w:b/>
          <w:color w:val="000000" w:themeColor="text1"/>
          <w:spacing w:val="-10"/>
          <w:szCs w:val="21"/>
        </w:rPr>
        <w:t>至2020年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numPr>
                <w:ilvl w:val="0"/>
                <w:numId w:val="0"/>
              </w:numPr>
              <w:rPr>
                <w:rFonts w:hint="eastAsia" w:eastAsia="宋体"/>
                <w:sz w:val="24"/>
                <w:szCs w:val="22"/>
                <w:lang w:val="en-US" w:eastAsia="zh-CN"/>
              </w:rPr>
            </w:pPr>
            <w:r>
              <w:rPr>
                <w:rFonts w:hint="eastAsia" w:eastAsia="宋体"/>
                <w:sz w:val="24"/>
                <w:szCs w:val="22"/>
                <w:lang w:val="en-US" w:eastAsia="zh-CN"/>
              </w:rPr>
              <w:t>总经理：马林 管代：丁路路</w:t>
            </w:r>
          </w:p>
          <w:p>
            <w:pPr>
              <w:numPr>
                <w:ilvl w:val="0"/>
                <w:numId w:val="0"/>
              </w:numPr>
              <w:rPr>
                <w:rFonts w:hint="eastAsia" w:eastAsia="宋体"/>
                <w:sz w:val="24"/>
                <w:szCs w:val="22"/>
                <w:lang w:val="en-US" w:eastAsia="zh-CN"/>
              </w:rPr>
            </w:pPr>
            <w:r>
              <w:rPr>
                <w:rFonts w:hint="eastAsia" w:eastAsia="宋体"/>
                <w:sz w:val="24"/>
                <w:szCs w:val="22"/>
                <w:lang w:val="en-US" w:eastAsia="zh-CN"/>
              </w:rPr>
              <w:t>企业注册/经营地址：</w:t>
            </w:r>
            <w:bookmarkStart w:id="11" w:name="生产地址"/>
            <w:r>
              <w:rPr>
                <w:rFonts w:hint="eastAsia" w:eastAsia="宋体"/>
                <w:sz w:val="24"/>
                <w:szCs w:val="22"/>
                <w:lang w:val="en-US" w:eastAsia="zh-CN"/>
              </w:rPr>
              <w:t>山东省青岛市城阳区春阳路88号天安数码城5号楼14层</w:t>
            </w:r>
            <w:bookmarkEnd w:id="11"/>
            <w:r>
              <w:rPr>
                <w:rFonts w:hint="eastAsia" w:eastAsia="宋体"/>
                <w:sz w:val="24"/>
                <w:szCs w:val="22"/>
                <w:lang w:val="en-US" w:eastAsia="zh-CN"/>
              </w:rPr>
              <w:t>；青岛威尔赫义齿科技有限公司,2011年01月24日成立，经营范围包括义齿研发、义齿制作、口腔医学领域内的技术咨询、技术推广、技术服务，技术开发，技术转让，生产II类口腔科材料（6863）；软件研发，软件设计；批发零售：I类医疗器械；II类医疗器械；III类医疗器械；医疗设备租赁，医疗设备维修，计算机软件销售；教育信息咨询（不含教育培训）；从事货物与技术的进出口业务。（依法须经批准的项目，经相关部门批准后方可开展经营活动）</w:t>
            </w:r>
          </w:p>
          <w:p>
            <w:pPr>
              <w:numPr>
                <w:ilvl w:val="0"/>
                <w:numId w:val="0"/>
              </w:numPr>
              <w:rPr>
                <w:rFonts w:hint="eastAsia" w:eastAsia="宋体"/>
                <w:sz w:val="24"/>
                <w:szCs w:val="22"/>
                <w:lang w:val="en-US" w:eastAsia="zh-CN"/>
              </w:rPr>
            </w:pPr>
            <w:r>
              <w:rPr>
                <w:rFonts w:hint="eastAsia" w:eastAsia="宋体"/>
                <w:sz w:val="24"/>
                <w:szCs w:val="22"/>
                <w:lang w:val="en-US" w:eastAsia="zh-CN"/>
              </w:rPr>
              <w:t>注：本次审核未远程审核，使用微信询问；微信传输文件、记录；微信视频/拍摄现场照片等方式进行审核</w:t>
            </w:r>
          </w:p>
          <w:p>
            <w:pPr>
              <w:numPr>
                <w:ilvl w:val="0"/>
                <w:numId w:val="0"/>
              </w:numPr>
              <w:rPr>
                <w:rFonts w:hint="eastAsia" w:eastAsia="宋体"/>
                <w:sz w:val="24"/>
                <w:szCs w:val="22"/>
                <w:lang w:val="en-US" w:eastAsia="zh-CN"/>
              </w:rPr>
            </w:pPr>
            <w:r>
              <w:rPr>
                <w:rFonts w:hint="eastAsia" w:eastAsia="宋体"/>
                <w:sz w:val="24"/>
                <w:szCs w:val="22"/>
                <w:lang w:val="en-US" w:eastAsia="zh-CN"/>
              </w:rPr>
              <w:t>与企业负责人微信沟通：企业销售模式为投标、客户介绍、网络宣传等。目前行业竞争激烈，利润空间较小。企业销售服务，基本无环境污染。主要环境因素为固废排放、火灾。设置有垃圾存放点，配备有灭火器。因疫情影响，按当地政府部门要求进行疫情防护。</w:t>
            </w:r>
          </w:p>
          <w:p>
            <w:pPr>
              <w:numPr>
                <w:ilvl w:val="0"/>
                <w:numId w:val="0"/>
              </w:numPr>
              <w:rPr>
                <w:rFonts w:hint="eastAsia" w:eastAsia="宋体"/>
                <w:sz w:val="24"/>
                <w:szCs w:val="22"/>
              </w:rPr>
            </w:pPr>
            <w:r>
              <w:rPr>
                <w:rFonts w:hint="eastAsia" w:eastAsia="宋体"/>
                <w:sz w:val="24"/>
                <w:szCs w:val="22"/>
              </w:rPr>
              <w:t>公司依据GB/T24001-2016标准的要求，结合产品特点和战略发展规划，建立了环境管理体系，于20</w:t>
            </w:r>
            <w:r>
              <w:rPr>
                <w:rFonts w:hint="eastAsia" w:eastAsia="宋体"/>
                <w:sz w:val="24"/>
                <w:szCs w:val="22"/>
                <w:lang w:val="en-US" w:eastAsia="zh-CN"/>
              </w:rPr>
              <w:t>20</w:t>
            </w:r>
            <w:r>
              <w:rPr>
                <w:rFonts w:hint="eastAsia" w:eastAsia="宋体"/>
                <w:sz w:val="24"/>
                <w:szCs w:val="22"/>
              </w:rPr>
              <w:t>年</w:t>
            </w:r>
            <w:r>
              <w:rPr>
                <w:rFonts w:hint="eastAsia" w:eastAsia="宋体"/>
                <w:sz w:val="24"/>
                <w:szCs w:val="22"/>
                <w:lang w:val="en-US" w:eastAsia="zh-CN"/>
              </w:rPr>
              <w:t>4</w:t>
            </w:r>
            <w:r>
              <w:rPr>
                <w:rFonts w:hint="eastAsia" w:eastAsia="宋体"/>
                <w:sz w:val="24"/>
                <w:szCs w:val="22"/>
              </w:rPr>
              <w:t>月</w:t>
            </w:r>
            <w:r>
              <w:rPr>
                <w:rFonts w:hint="eastAsia" w:eastAsia="宋体"/>
                <w:sz w:val="24"/>
                <w:szCs w:val="22"/>
                <w:lang w:val="en-US" w:eastAsia="zh-CN"/>
              </w:rPr>
              <w:t>10</w:t>
            </w:r>
            <w:r>
              <w:rPr>
                <w:rFonts w:hint="eastAsia" w:eastAsia="宋体"/>
                <w:sz w:val="24"/>
                <w:szCs w:val="22"/>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p>
            <w:pPr>
              <w:numPr>
                <w:ilvl w:val="0"/>
                <w:numId w:val="0"/>
              </w:numPr>
              <w:rPr>
                <w:rFonts w:hint="eastAsia" w:eastAsia="宋体"/>
                <w:sz w:val="24"/>
                <w:szCs w:val="22"/>
                <w:lang w:val="en-US" w:eastAsia="zh-CN"/>
              </w:rPr>
            </w:pPr>
            <w:r>
              <w:rPr>
                <w:rFonts w:hint="eastAsia" w:eastAsia="宋体"/>
                <w:sz w:val="24"/>
                <w:szCs w:val="22"/>
                <w:lang w:val="en-US" w:eastAsia="zh-CN"/>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3"/>
              <w:rPr>
                <w:rFonts w:hint="eastAsia"/>
              </w:rPr>
            </w:pPr>
            <w:r>
              <w:rPr>
                <w:rFonts w:hint="eastAsia"/>
              </w:rPr>
              <w:t>地址变更：</w:t>
            </w:r>
          </w:p>
          <w:p>
            <w:pPr>
              <w:pStyle w:val="3"/>
              <w:rPr>
                <w:rFonts w:hint="eastAsia"/>
              </w:rPr>
            </w:pPr>
            <w:r>
              <w:rPr>
                <w:rFonts w:hint="eastAsia"/>
              </w:rPr>
              <w:t>原（■经营地址）：山东省青岛市城阳区春阳路88号天安数码城5号楼14层</w:t>
            </w:r>
          </w:p>
          <w:p>
            <w:pPr>
              <w:pStyle w:val="3"/>
              <w:rPr>
                <w:rFonts w:hint="default" w:eastAsia="宋体"/>
                <w:lang w:val="en-US" w:eastAsia="zh-CN"/>
              </w:rPr>
            </w:pPr>
            <w:r>
              <w:rPr>
                <w:rFonts w:hint="eastAsia"/>
              </w:rPr>
              <w:t>现（■经营地址）：山东省青岛市城阳区春阳路88号天安数码城7号楼</w:t>
            </w:r>
            <w:r>
              <w:rPr>
                <w:rFonts w:hint="eastAsia"/>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numPr>
                <w:ilvl w:val="0"/>
                <w:numId w:val="0"/>
              </w:numPr>
              <w:rPr>
                <w:rFonts w:hint="eastAsia" w:eastAsia="宋体"/>
                <w:sz w:val="24"/>
                <w:szCs w:val="22"/>
                <w:lang w:val="en-US" w:eastAsia="zh-CN"/>
              </w:rPr>
            </w:pPr>
            <w:r>
              <w:rPr>
                <w:rFonts w:hint="eastAsia" w:eastAsia="宋体"/>
                <w:sz w:val="24"/>
                <w:szCs w:val="22"/>
                <w:lang w:val="en-US" w:eastAsia="zh-CN"/>
              </w:rPr>
              <w:t>相关方主要包括：顾客、股东、员工、银行、供应商、雇员及其他为组织工作者、法律法规及监管机关、非政府组织等。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pPr>
              <w:numPr>
                <w:ilvl w:val="0"/>
                <w:numId w:val="0"/>
              </w:numPr>
              <w:rPr>
                <w:color w:val="000000" w:themeColor="text1"/>
                <w:sz w:val="20"/>
                <w:szCs w:val="20"/>
              </w:rPr>
            </w:pPr>
            <w:r>
              <w:rPr>
                <w:rFonts w:hint="eastAsia" w:eastAsia="宋体"/>
                <w:sz w:val="24"/>
                <w:szCs w:val="22"/>
                <w:lang w:val="en-US" w:eastAsia="zh-CN"/>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Cs w:val="21"/>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在《环境管理手册》中形成了文件化的信息：</w:t>
            </w:r>
          </w:p>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环境方针：遵守法律法规、减少消耗 保护环境、预防污染</w:t>
            </w:r>
          </w:p>
          <w:p>
            <w:pPr>
              <w:rPr>
                <w:rFonts w:hint="eastAsia" w:ascii="宋体" w:eastAsia="宋体" w:cs="宋体" w:hAnsiTheme="minorHAnsi"/>
                <w:color w:val="000000" w:themeColor="text1"/>
                <w:kern w:val="0"/>
                <w:sz w:val="20"/>
                <w:szCs w:val="20"/>
              </w:rPr>
            </w:pPr>
            <w:r>
              <w:rPr>
                <w:rFonts w:hint="eastAsia" w:ascii="宋体" w:eastAsia="宋体" w:cs="宋体" w:hAnsiTheme="minorHAnsi"/>
                <w:color w:val="000000" w:themeColor="text1"/>
                <w:kern w:val="0"/>
                <w:sz w:val="20"/>
                <w:szCs w:val="20"/>
              </w:rPr>
              <w:t>公司通过近半年的运行体系，证明公司的环境方针是适宜的。公司方针与公司的宗旨相适宜，符合公司的活动、产品或服务的性质、规模，满足顾客的要求，对持续改进也做出承诺。</w:t>
            </w:r>
          </w:p>
          <w:p>
            <w:pPr>
              <w:rPr>
                <w:b/>
                <w:color w:val="000000" w:themeColor="text1"/>
              </w:rPr>
            </w:pPr>
            <w:r>
              <w:rPr>
                <w:rFonts w:hint="eastAsia" w:ascii="宋体" w:eastAsia="宋体" w:cs="宋体" w:hAnsiTheme="minorHAnsi"/>
                <w:color w:val="000000" w:themeColor="text1"/>
                <w:kern w:val="0"/>
                <w:sz w:val="20"/>
                <w:szCs w:val="20"/>
              </w:rPr>
              <w:t>主要通过文件和培训方式向全体员工传达的环境方针，在组织内得到沟通、理解，公司环境方针形成的文件的信息完整，有效。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numPr>
                <w:ilvl w:val="0"/>
                <w:numId w:val="0"/>
              </w:numPr>
              <w:ind w:leftChars="0"/>
              <w:rPr>
                <w:rFonts w:hint="eastAsia"/>
              </w:rPr>
            </w:pP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 xml:space="preserve">二类口腔科材料（义齿）的销售及其相关的环境管理活动 </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项：固废排放、火灾，评价符合程序要求及公司的实际情况。</w:t>
            </w:r>
          </w:p>
          <w:p>
            <w:pPr>
              <w:rPr>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9"/>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9"/>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pStyle w:val="12"/>
              <w:numPr>
                <w:ilvl w:val="0"/>
                <w:numId w:val="0"/>
              </w:numPr>
              <w:tabs>
                <w:tab w:val="left" w:pos="540"/>
              </w:tabs>
              <w:spacing w:line="300" w:lineRule="exact"/>
              <w:ind w:leftChars="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default" w:ascii="宋体" w:hAnsi="宋体"/>
                <w:b w:val="0"/>
                <w:bCs/>
                <w:color w:val="000000" w:themeColor="text1"/>
                <w:sz w:val="18"/>
                <w:szCs w:val="18"/>
                <w:lang w:val="en-US" w:eastAsia="zh-CN"/>
              </w:rPr>
            </w:pPr>
            <w:r>
              <w:rPr>
                <w:rFonts w:hint="eastAsia" w:ascii="宋体" w:hAnsi="宋体"/>
                <w:b w:val="0"/>
                <w:bCs/>
                <w:color w:val="000000" w:themeColor="text1"/>
                <w:sz w:val="18"/>
                <w:szCs w:val="18"/>
              </w:rPr>
              <w:t>目标：</w:t>
            </w:r>
            <w:r>
              <w:rPr>
                <w:rFonts w:hint="eastAsia" w:ascii="宋体" w:hAnsi="宋体"/>
                <w:b w:val="0"/>
                <w:bCs/>
                <w:color w:val="000000" w:themeColor="text1"/>
                <w:sz w:val="18"/>
                <w:szCs w:val="18"/>
                <w:lang w:eastAsia="zh-CN"/>
              </w:rPr>
              <w:t>固体废弃物100%分类处理</w:t>
            </w:r>
            <w:r>
              <w:rPr>
                <w:rFonts w:hint="eastAsia" w:ascii="宋体" w:hAnsi="宋体"/>
                <w:b w:val="0"/>
                <w:bCs/>
                <w:color w:val="000000" w:themeColor="text1"/>
                <w:sz w:val="18"/>
                <w:szCs w:val="18"/>
                <w:lang w:val="en-US" w:eastAsia="zh-CN"/>
              </w:rPr>
              <w:t xml:space="preserve">  </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管理方案：1 严格按照固体分类设置可回收、不可回收、固体废弃物存放处2 办公区域实行袋装化，定点集中处理3 执行《固体废弃物的管理办法》。</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目标：火灾事故为0</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管理方案：1 根据实际需要，合理配置消防灭火器2制定火灾应急预案，成立火灾应急小组，定期进行消防演习3 采取教育和警示办法，组织员工安全知识培训4 定期检查维护消防器材的运行，保存好记录，保证消防设施正常使用5执行相关国家规定，对综合部(技术部）各种线路检查整理使之处于安全状态6加强易燃品的管理。</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环境目标考虑了重要环境因素，与环境方针一致，可测量。</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根据环境目标指标，组织建立了环境目标及措施，内容包括方法措施、执行部门、负责人、启始日期等。</w:t>
            </w:r>
          </w:p>
          <w:p>
            <w:pPr>
              <w:spacing w:line="240" w:lineRule="exact"/>
              <w:rPr>
                <w:rFonts w:ascii="宋体" w:hAnsi="宋体"/>
                <w:b/>
                <w:color w:val="000000" w:themeColor="text1"/>
              </w:rPr>
            </w:pPr>
            <w:r>
              <w:rPr>
                <w:rFonts w:hint="eastAsia" w:ascii="宋体" w:hAnsi="宋体"/>
                <w:b w:val="0"/>
                <w:bCs/>
                <w:color w:val="000000" w:themeColor="text1"/>
                <w:sz w:val="18"/>
                <w:szCs w:val="18"/>
              </w:rPr>
              <w:t>微信抽查在相关职能、层次、过程上建立了环境目标，目标在各职能部门落实，</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有对环境目标完成情况定期进行汇总统计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提供的《</w:t>
            </w:r>
            <w:r>
              <w:rPr>
                <w:rFonts w:hint="eastAsia" w:ascii="宋体" w:hAnsi="宋体"/>
                <w:b w:val="0"/>
                <w:bCs/>
                <w:color w:val="000000" w:themeColor="text1"/>
                <w:sz w:val="18"/>
                <w:szCs w:val="18"/>
                <w:lang w:eastAsia="zh-CN"/>
              </w:rPr>
              <w:t>记录控制程序</w:t>
            </w:r>
            <w:r>
              <w:rPr>
                <w:rFonts w:hint="eastAsia" w:ascii="宋体" w:hAnsi="宋体"/>
                <w:b w:val="0"/>
                <w:bCs/>
                <w:color w:val="000000" w:themeColor="text1"/>
                <w:sz w:val="18"/>
                <w:szCs w:val="18"/>
              </w:rPr>
              <w:t>》</w:t>
            </w:r>
            <w:r>
              <w:rPr>
                <w:rFonts w:hint="eastAsia" w:ascii="宋体" w:hAnsi="宋体"/>
                <w:b w:val="0"/>
                <w:bCs/>
                <w:color w:val="000000" w:themeColor="text1"/>
                <w:sz w:val="18"/>
                <w:szCs w:val="18"/>
                <w:lang w:eastAsia="zh-CN"/>
              </w:rPr>
              <w:t>《外来文件控制程序》</w:t>
            </w:r>
            <w:r>
              <w:rPr>
                <w:rFonts w:hint="eastAsia" w:ascii="宋体" w:hAnsi="宋体"/>
                <w:b w:val="0"/>
                <w:bCs/>
                <w:color w:val="000000" w:themeColor="text1"/>
                <w:sz w:val="18"/>
                <w:szCs w:val="18"/>
              </w:rPr>
              <w:t>规定了文件的编制、审批、标识、复制、更改、保存等要求。</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查见</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受控文件清单</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，清单中包括管理手册、程序文件、管理制度汇编等，有提供上述管理体系文件的相应文本。</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抽查管理手册、程序文件、环境目标、指标管理方案、火灾应急预案等体系文件，有相应的标识、并有履行相应的审批程，文件保存良好。未发现失效文件的非预期使用。</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查见“文件领用发放记录”,上述体系文件已发放至相关的使用部门及场所，有发放日期、领用人签字确认。</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体系文件复制、借阅、更改等均有按规定的要求实施控制</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环境管理体系文件有纸质，硬拷贝、电子文件等存在形式。</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抽查“记录清单”</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记录了“管理评审报告”“培训记录”等，上述记录有规定了相应的保存期限，标识明确</w:t>
            </w:r>
          </w:p>
          <w:p>
            <w:pPr>
              <w:tabs>
                <w:tab w:val="left" w:pos="540"/>
              </w:tabs>
              <w:spacing w:line="240" w:lineRule="exact"/>
              <w:rPr>
                <w:rFonts w:ascii="宋体" w:hAnsi="宋体"/>
                <w:b/>
                <w:color w:val="000000" w:themeColor="text1"/>
                <w:sz w:val="20"/>
                <w:szCs w:val="20"/>
              </w:rPr>
            </w:pPr>
            <w:r>
              <w:rPr>
                <w:rFonts w:hint="eastAsia" w:ascii="宋体" w:hAnsi="宋体"/>
                <w:b w:val="0"/>
                <w:bCs/>
                <w:color w:val="000000" w:themeColor="text1"/>
                <w:sz w:val="18"/>
                <w:szCs w:val="18"/>
              </w:rPr>
              <w:t>成文信息控制基本符合标准要求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 w:val="0"/>
                <w:bCs/>
                <w:color w:val="000000" w:themeColor="text1"/>
                <w:sz w:val="18"/>
                <w:szCs w:val="18"/>
              </w:rPr>
            </w:pPr>
            <w:r>
              <w:rPr>
                <w:rFonts w:hint="eastAsia"/>
                <w:bCs/>
                <w:szCs w:val="21"/>
              </w:rPr>
              <w:t>该公司员工共</w:t>
            </w:r>
            <w:r>
              <w:rPr>
                <w:rFonts w:hint="eastAsia"/>
                <w:bCs/>
                <w:szCs w:val="21"/>
                <w:lang w:val="en-US" w:eastAsia="zh-CN"/>
              </w:rPr>
              <w:t>18</w:t>
            </w:r>
            <w:r>
              <w:rPr>
                <w:rFonts w:hint="eastAsia"/>
                <w:bCs/>
                <w:szCs w:val="21"/>
              </w:rPr>
              <w:t>人，管理人员</w:t>
            </w:r>
            <w:r>
              <w:rPr>
                <w:rFonts w:hint="eastAsia"/>
                <w:bCs/>
                <w:szCs w:val="21"/>
                <w:lang w:val="en-US" w:eastAsia="zh-CN"/>
              </w:rPr>
              <w:t>2</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lang w:val="en-US" w:eastAsia="zh-CN"/>
              </w:rPr>
              <w:t>销售人员、办公人员，</w:t>
            </w:r>
            <w:r>
              <w:rPr>
                <w:rFonts w:hint="eastAsia"/>
                <w:bCs/>
                <w:szCs w:val="21"/>
              </w:rPr>
              <w:t>能满足</w:t>
            </w:r>
            <w:r>
              <w:rPr>
                <w:rFonts w:hint="eastAsia" w:ascii="宋体" w:hAnsi="宋体"/>
                <w:szCs w:val="21"/>
              </w:rPr>
              <w:t>二类口腔科材料（义齿）的销售及其相关的环境管理活动</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b w:val="0"/>
                <w:bCs/>
                <w:color w:val="000000" w:themeColor="text1"/>
                <w:sz w:val="18"/>
                <w:szCs w:val="18"/>
                <w:lang w:eastAsia="zh-CN"/>
              </w:rPr>
            </w:pPr>
            <w:r>
              <w:rPr>
                <w:rFonts w:hint="eastAsia" w:ascii="宋体" w:hAnsi="宋体"/>
                <w:b w:val="0"/>
                <w:bCs/>
                <w:color w:val="000000" w:themeColor="text1"/>
                <w:sz w:val="18"/>
                <w:szCs w:val="18"/>
              </w:rPr>
              <w:t>公司确定、提供为建立、实施、保持和改进环境管理体系所需的资源。查公司现有资源，包括人力资源、基础设施（含办公场所、办公设备/设施、交通和通讯设施、消防安全设施等）、信息、技术、资金等</w:t>
            </w:r>
            <w:r>
              <w:rPr>
                <w:rFonts w:hint="eastAsia" w:ascii="宋体" w:hAnsi="宋体"/>
                <w:b w:val="0"/>
                <w:bCs/>
                <w:color w:val="000000" w:themeColor="text1"/>
                <w:sz w:val="18"/>
                <w:szCs w:val="18"/>
                <w:lang w:eastAsia="zh-CN"/>
              </w:rPr>
              <w:t>，</w:t>
            </w:r>
          </w:p>
          <w:p>
            <w:pPr>
              <w:spacing w:line="240" w:lineRule="exact"/>
              <w:rPr>
                <w:rFonts w:hint="eastAsia" w:ascii="宋体" w:hAnsi="宋体"/>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无需监视测量设备</w:t>
            </w:r>
            <w:r>
              <w:rPr>
                <w:rFonts w:hint="eastAsia" w:ascii="宋体" w:hAnsi="宋体"/>
                <w:b/>
                <w:color w:val="000000" w:themeColor="text1"/>
                <w:sz w:val="20"/>
                <w:szCs w:val="20"/>
                <w:lang w:eastAsia="zh-CN"/>
              </w:rPr>
              <w:t>，</w:t>
            </w:r>
            <w:r>
              <w:rPr>
                <w:rFonts w:hint="eastAsia"/>
              </w:rPr>
              <w:t>编制有</w:t>
            </w:r>
            <w:r>
              <w:rPr>
                <w:rFonts w:hint="eastAsia"/>
                <w:lang w:eastAsia="zh-CN"/>
              </w:rPr>
              <w:t>环境运行</w:t>
            </w:r>
            <w:r>
              <w:rPr>
                <w:rFonts w:hint="eastAsia"/>
              </w:rPr>
              <w:t>检查记录，能不定期对</w:t>
            </w:r>
            <w:r>
              <w:rPr>
                <w:rFonts w:hint="eastAsia"/>
                <w:lang w:eastAsia="zh-CN"/>
              </w:rPr>
              <w:t>环境</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Cs/>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Cs w:val="21"/>
              </w:rPr>
              <w:t>电话、会议、培训、面谈、文件、网络等方式交流</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Cs w:val="21"/>
              </w:rPr>
              <w:t>内外部信息沟通渠道畅通</w:t>
            </w:r>
          </w:p>
          <w:p>
            <w:pPr>
              <w:spacing w:line="240" w:lineRule="exact"/>
              <w:rPr>
                <w:rFonts w:ascii="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“至相关方告知书”发放到相关方，沟通顺畅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不合格品/项的识别、控制;</w:t>
            </w:r>
          </w:p>
          <w:p>
            <w:pPr>
              <w:spacing w:line="240" w:lineRule="exact"/>
              <w:rPr>
                <w:rFonts w:hint="eastAsia" w:eastAsia="宋体"/>
                <w:bCs/>
                <w:szCs w:val="21"/>
              </w:rPr>
            </w:pPr>
            <w:r>
              <w:rPr>
                <w:rFonts w:hint="eastAsia" w:eastAsia="宋体"/>
                <w:bCs/>
                <w:szCs w:val="21"/>
              </w:rPr>
              <w:t>提供的《</w:t>
            </w:r>
            <w:r>
              <w:rPr>
                <w:rFonts w:hint="eastAsia" w:eastAsia="宋体"/>
                <w:bCs/>
                <w:szCs w:val="21"/>
                <w:lang w:eastAsia="zh-CN"/>
              </w:rPr>
              <w:t>不符合和纠正措施程序</w:t>
            </w:r>
            <w:r>
              <w:rPr>
                <w:rFonts w:hint="eastAsia" w:eastAsia="宋体"/>
                <w:bCs/>
                <w:szCs w:val="21"/>
              </w:rPr>
              <w:t>》规定了体系运行中的不符合、纠正措施和预防措施控制要求。经与该部门交流：经过日常的监视和测量及检查未发生环境运行过程中的不符合、事故、事件。故没有采取纠正和预防措施的需求。</w:t>
            </w:r>
          </w:p>
          <w:p>
            <w:pPr>
              <w:spacing w:line="240" w:lineRule="exact"/>
              <w:rPr>
                <w:rFonts w:hint="eastAsia" w:eastAsia="宋体"/>
                <w:bCs/>
                <w:szCs w:val="21"/>
              </w:rPr>
            </w:pPr>
            <w:r>
              <w:rPr>
                <w:rFonts w:hint="eastAsia" w:eastAsia="宋体"/>
                <w:bCs/>
                <w:szCs w:val="21"/>
              </w:rPr>
              <w:t>本年度实施的内审中出现的不符合，均及时在规定的时间内进行了纠正、关闭；截止目前未发生环保事故，若发生，将严格按相关程序文件规定执行。</w:t>
            </w:r>
          </w:p>
          <w:p>
            <w:pPr>
              <w:spacing w:line="240" w:lineRule="exact"/>
              <w:rPr>
                <w:b/>
                <w:color w:val="000000" w:themeColor="text1"/>
                <w:sz w:val="20"/>
                <w:szCs w:val="20"/>
              </w:rPr>
            </w:pPr>
            <w:r>
              <w:rPr>
                <w:rFonts w:hint="eastAsia" w:eastAsia="宋体"/>
                <w:bCs/>
                <w:szCs w:val="21"/>
              </w:rPr>
              <w:t>企业有通过日常培训、例行检查、合规性评价、环境目标、指标及管理方案完成情况检查，制定应急预案，并定期实施演练，以及内审和管理评审等防患措施，以防止签字的不符合、事故、事件的发生。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4.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bCs/>
                <w:szCs w:val="21"/>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5. 应急准备与相应活动的演练及对预案可行性的评价(当有规定时) </w:t>
            </w:r>
          </w:p>
          <w:p>
            <w:pPr>
              <w:spacing w:line="240" w:lineRule="exact"/>
              <w:rPr>
                <w:rFonts w:hint="eastAsia" w:eastAsia="宋体"/>
                <w:bCs/>
                <w:szCs w:val="21"/>
              </w:rPr>
            </w:pPr>
            <w:r>
              <w:rPr>
                <w:rFonts w:hint="eastAsia" w:eastAsia="宋体"/>
                <w:bCs/>
                <w:szCs w:val="21"/>
              </w:rPr>
              <w:t>有提供《</w:t>
            </w:r>
            <w:r>
              <w:rPr>
                <w:rFonts w:hint="eastAsia" w:eastAsia="宋体"/>
                <w:bCs/>
                <w:szCs w:val="21"/>
                <w:lang w:eastAsia="zh-CN"/>
              </w:rPr>
              <w:t>应急准备和响应控制程序</w:t>
            </w:r>
            <w:r>
              <w:rPr>
                <w:rFonts w:hint="eastAsia" w:eastAsia="宋体"/>
                <w:bCs/>
                <w:szCs w:val="21"/>
              </w:rPr>
              <w:t>》、以及《应急预案》、《火灾应急演练》</w:t>
            </w:r>
            <w:r>
              <w:rPr>
                <w:rFonts w:hint="eastAsia" w:eastAsia="宋体"/>
                <w:bCs/>
                <w:szCs w:val="21"/>
                <w:lang w:eastAsia="zh-CN"/>
              </w:rPr>
              <w:t>《</w:t>
            </w:r>
            <w:r>
              <w:rPr>
                <w:rFonts w:hint="eastAsia" w:eastAsia="宋体"/>
                <w:bCs/>
                <w:szCs w:val="21"/>
                <w:lang w:val="en-US" w:eastAsia="zh-CN"/>
              </w:rPr>
              <w:t>疫情演练</w:t>
            </w:r>
            <w:r>
              <w:rPr>
                <w:rFonts w:hint="eastAsia" w:eastAsia="宋体"/>
                <w:bCs/>
                <w:szCs w:val="21"/>
                <w:lang w:eastAsia="zh-CN"/>
              </w:rPr>
              <w:t>》</w:t>
            </w:r>
            <w:r>
              <w:rPr>
                <w:rFonts w:hint="eastAsia" w:eastAsia="宋体"/>
                <w:bCs/>
                <w:szCs w:val="21"/>
              </w:rPr>
              <w:t>，上述预案中有明确人员组成、物资准备、演练过程、演练效果评审、改进措施等，预案内容基本完善。组织实施了一次火灾应急演练，演练完成后并有对演练效果进行总结评估。</w:t>
            </w:r>
          </w:p>
          <w:p>
            <w:pPr>
              <w:spacing w:line="240" w:lineRule="exact"/>
              <w:rPr>
                <w:rFonts w:hint="eastAsia" w:eastAsia="宋体"/>
                <w:bCs/>
                <w:szCs w:val="21"/>
              </w:rPr>
            </w:pPr>
            <w:r>
              <w:rPr>
                <w:rFonts w:hint="eastAsia" w:eastAsia="宋体"/>
                <w:bCs/>
                <w:szCs w:val="21"/>
              </w:rPr>
              <w:t>查见“演练记录”，</w:t>
            </w:r>
            <w:r>
              <w:rPr>
                <w:rFonts w:hint="eastAsia" w:eastAsia="宋体"/>
                <w:bCs/>
                <w:szCs w:val="21"/>
                <w:lang w:eastAsia="zh-CN"/>
              </w:rPr>
              <w:t>演练过程描述：1、明火、干燥、电线老化引起火灾2、模拟烧伤处置3、演习火灾，组织演习灭火及逃生</w:t>
            </w:r>
            <w:r>
              <w:rPr>
                <w:rFonts w:hint="eastAsia" w:eastAsia="宋体"/>
                <w:bCs/>
                <w:szCs w:val="21"/>
              </w:rPr>
              <w:t>。</w:t>
            </w:r>
          </w:p>
          <w:p>
            <w:pPr>
              <w:spacing w:line="240" w:lineRule="exact"/>
              <w:rPr>
                <w:rFonts w:hint="eastAsia" w:eastAsia="宋体"/>
                <w:bCs/>
                <w:szCs w:val="21"/>
                <w:lang w:eastAsia="zh-CN"/>
              </w:rPr>
            </w:pPr>
            <w:r>
              <w:rPr>
                <w:rFonts w:hint="eastAsia" w:eastAsia="宋体"/>
                <w:bCs/>
                <w:szCs w:val="21"/>
                <w:lang w:eastAsia="zh-CN"/>
              </w:rPr>
              <w:t>应急能力评价：公司制定的应急措施有效，故障顺利被排除；烧伤得到正确的处置；人员能及时疏散；灭火方法正确有效。</w:t>
            </w:r>
          </w:p>
          <w:p>
            <w:pPr>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对特种设备的维护，检定; </w:t>
            </w:r>
          </w:p>
          <w:p>
            <w:pPr>
              <w:spacing w:line="240" w:lineRule="exact"/>
              <w:rPr>
                <w:b/>
                <w:color w:val="000000" w:themeColor="text1"/>
                <w:sz w:val="20"/>
                <w:szCs w:val="20"/>
              </w:rPr>
            </w:pPr>
            <w:r>
              <w:rPr>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.对危险化学品销售、使用、储存、运输处置，规定的执行力度(必要时);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hint="eastAsia"/>
                <w:bCs/>
                <w:szCs w:val="21"/>
              </w:rPr>
            </w:pPr>
          </w:p>
          <w:p>
            <w:pPr>
              <w:spacing w:line="240" w:lineRule="exact"/>
              <w:ind w:firstLine="105" w:firstLineChars="50"/>
              <w:rPr>
                <w:bCs/>
                <w:szCs w:val="21"/>
              </w:rPr>
            </w:pPr>
            <w:r>
              <w:rPr>
                <w:rFonts w:hint="eastAsia"/>
                <w:bCs/>
                <w:szCs w:val="21"/>
              </w:rPr>
              <w:t>对环境目标指标进行了考核，各部门基本可以完成环境/安全目标要求。目标具备可测量性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hint="eastAsia" w:ascii="宋体" w:hAnsi="宋体"/>
                <w:szCs w:val="21"/>
                <w:highlight w:val="none"/>
              </w:rPr>
            </w:pPr>
            <w:r>
              <w:rPr>
                <w:rFonts w:hint="eastAsia"/>
              </w:rPr>
              <w:t>3. 内审（包括内审策划审核方案中考虑拟审核的过程和区域的状况和重要性）</w:t>
            </w:r>
          </w:p>
          <w:p>
            <w:pPr>
              <w:pStyle w:val="2"/>
              <w:rPr>
                <w:rFonts w:hint="eastAsia" w:ascii="宋体" w:hAnsi="宋体"/>
                <w:szCs w:val="21"/>
                <w:highlight w:val="none"/>
              </w:rPr>
            </w:pPr>
            <w:r>
              <w:rPr>
                <w:rFonts w:hint="eastAsia" w:ascii="宋体" w:hAnsi="宋体"/>
                <w:szCs w:val="21"/>
              </w:rPr>
              <w:t>建立有《内部审核控</w:t>
            </w:r>
            <w:r>
              <w:rPr>
                <w:rFonts w:hint="eastAsia" w:ascii="宋体" w:hAnsi="宋体" w:cs="宋体"/>
                <w:szCs w:val="21"/>
              </w:rPr>
              <w:t>制程序》，规定了内审频次一年一次，内审时间：2020年8月10日，拟定了审核实施表，明确了内审范围，内审人员经培训合格上岗，审核组长：丁路路 （A） 审核组成员：葛小润（B）能力满足要求，未出现审核本部门情况，内审不符合项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项，已及时采取纠正措施后，经内审员验证关闭。</w:t>
            </w:r>
            <w:r>
              <w:rPr>
                <w:rFonts w:hint="eastAsia" w:ascii="宋体" w:hAnsi="宋体"/>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主要污染为固废处理及火灾发生。均按企业要求进行监视或测量，符合要求。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eastAsia" w:ascii="宋体" w:hAnsi="宋体" w:eastAsia="宋体" w:cs="宋体"/>
                <w:szCs w:val="21"/>
              </w:rPr>
            </w:pPr>
            <w:r>
              <w:rPr>
                <w:rFonts w:hint="eastAsia" w:ascii="宋体" w:hAnsi="宋体" w:eastAsia="宋体" w:cs="宋体"/>
                <w:szCs w:val="21"/>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pPr>
              <w:spacing w:line="240" w:lineRule="exact"/>
              <w:rPr>
                <w:rFonts w:hint="eastAsia" w:ascii="宋体" w:hAnsi="宋体" w:eastAsia="宋体" w:cs="宋体"/>
                <w:szCs w:val="21"/>
              </w:rPr>
            </w:pPr>
            <w:r>
              <w:rPr>
                <w:rFonts w:hint="eastAsia" w:ascii="宋体" w:hAnsi="宋体" w:eastAsia="宋体" w:cs="宋体"/>
                <w:szCs w:val="21"/>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pPr>
              <w:spacing w:line="240" w:lineRule="exact"/>
              <w:rPr>
                <w:b/>
                <w:color w:val="000000" w:themeColor="text1"/>
                <w:sz w:val="20"/>
                <w:szCs w:val="20"/>
              </w:rPr>
            </w:pPr>
            <w:r>
              <w:rPr>
                <w:rFonts w:hint="eastAsia" w:ascii="宋体" w:hAnsi="宋体" w:eastAsia="宋体" w:cs="宋体"/>
                <w:szCs w:val="21"/>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p>
          <w:p>
            <w:pPr>
              <w:spacing w:line="240" w:lineRule="exact"/>
              <w:rPr>
                <w:b/>
                <w:color w:val="000000" w:themeColor="text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t>□</w:t>
            </w:r>
            <w:r>
              <w:rPr>
                <w:rFonts w:hint="eastAsia"/>
                <w:sz w:val="22"/>
                <w:szCs w:val="22"/>
              </w:rPr>
              <w:t xml:space="preserve">QMS </w:t>
            </w:r>
            <w:r>
              <w:rPr>
                <w:rFonts w:hint="eastAsia" w:ascii="宋体" w:hAnsi="宋体" w:eastAsia="宋体" w:cs="宋体"/>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t>□</w:t>
            </w:r>
            <w:r>
              <w:rPr>
                <w:rFonts w:hint="eastAsia"/>
                <w:sz w:val="22"/>
                <w:szCs w:val="22"/>
              </w:rPr>
              <w:t xml:space="preserve">QMS  </w:t>
            </w:r>
            <w:r>
              <w:rPr>
                <w:rFonts w:hint="eastAsia" w:ascii="宋体" w:hAnsi="宋体" w:eastAsia="宋体" w:cs="宋体"/>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8"/>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8"/>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8"/>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rFonts w:hint="default" w:eastAsia="宋体"/>
                <w:b/>
                <w:color w:val="000000" w:themeColor="text1"/>
                <w:spacing w:val="-10"/>
                <w:sz w:val="22"/>
                <w:szCs w:val="22"/>
                <w:lang w:val="en-US" w:eastAsia="zh-CN"/>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,本次为远程审核，后期将安排0.5人日现场验证审核</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76672" behindDoc="1" locked="0" layoutInCell="1" allowOverlap="1">
            <wp:simplePos x="0" y="0"/>
            <wp:positionH relativeFrom="column">
              <wp:posOffset>1580515</wp:posOffset>
            </wp:positionH>
            <wp:positionV relativeFrom="paragraph">
              <wp:posOffset>534670</wp:posOffset>
            </wp:positionV>
            <wp:extent cx="738505" cy="332105"/>
            <wp:effectExtent l="0" t="0" r="10795" b="1079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3456940" y="3016885"/>
                      <a:ext cx="738505" cy="332105"/>
                    </a:xfrm>
                    <a:prstGeom prst="rect">
                      <a:avLst/>
                    </a:prstGeom>
                    <a:noFill/>
                    <a:ln>
                      <a:noFill/>
                    </a:ln>
                  </pic:spPr>
                </pic:pic>
              </a:graphicData>
            </a:graphic>
          </wp:anchor>
        </w:drawing>
      </w:r>
      <w:r>
        <w:rPr>
          <w:rFonts w:hint="eastAsia"/>
          <w:b/>
          <w:color w:val="000000" w:themeColor="text1"/>
          <w:sz w:val="26"/>
          <w:szCs w:val="26"/>
        </w:rPr>
        <w:t>审核组组长（签名）：</w:t>
      </w:r>
      <w:r>
        <w:rPr>
          <w:b/>
          <w:color w:val="000000" w:themeColor="text1"/>
          <w:sz w:val="26"/>
          <w:szCs w:val="26"/>
        </w:rPr>
        <w:t xml:space="preserve">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pacing w:val="-10"/>
          <w:szCs w:val="21"/>
        </w:rPr>
        <w:sym w:font="Wingdings" w:char="00A8"/>
      </w:r>
      <w:r>
        <w:rPr>
          <w:rFonts w:hint="eastAsia"/>
          <w:b/>
          <w:color w:val="000000" w:themeColor="text1"/>
          <w:szCs w:val="21"/>
        </w:rPr>
        <w:t>EMS(   )个一般不符合，(  )个严重不符合，</w:t>
      </w:r>
      <w:r>
        <w:rPr>
          <w:rFonts w:hint="eastAsia"/>
          <w:b/>
          <w:color w:val="000000" w:themeColor="text1"/>
          <w:spacing w:val="-10"/>
          <w:szCs w:val="21"/>
        </w:rPr>
        <w:sym w:font="Wingdings" w:char="00A8"/>
      </w:r>
      <w:bookmarkStart w:id="13" w:name="_GoBack"/>
      <w:bookmarkEnd w:id="13"/>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sym w:font="Wingdings" w:char="00A8"/>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2020年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3</w:t>
      </w:r>
      <w:r>
        <w:rPr>
          <w:rFonts w:hint="eastAsia"/>
          <w:b/>
          <w:color w:val="000000" w:themeColor="text1"/>
          <w:szCs w:val="21"/>
        </w:rPr>
        <w:t>日</w:t>
      </w: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DB9"/>
    <w:rsid w:val="00342DB9"/>
    <w:rsid w:val="00423BD6"/>
    <w:rsid w:val="00593C29"/>
    <w:rsid w:val="00713BF5"/>
    <w:rsid w:val="00A24B2E"/>
    <w:rsid w:val="00A72CA9"/>
    <w:rsid w:val="00A7621D"/>
    <w:rsid w:val="00C46618"/>
    <w:rsid w:val="00CD215B"/>
    <w:rsid w:val="00D6469E"/>
    <w:rsid w:val="00D83B44"/>
    <w:rsid w:val="00D87122"/>
    <w:rsid w:val="00E073C2"/>
    <w:rsid w:val="00E153E8"/>
    <w:rsid w:val="00ED6E96"/>
    <w:rsid w:val="25194160"/>
    <w:rsid w:val="2C2A3F54"/>
    <w:rsid w:val="53EC1B2F"/>
    <w:rsid w:val="5F8E3C8B"/>
    <w:rsid w:val="616A3A2E"/>
    <w:rsid w:val="64807966"/>
    <w:rsid w:val="7CED5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99"/>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1801</Words>
  <Characters>10268</Characters>
  <Lines>85</Lines>
  <Paragraphs>24</Paragraphs>
  <TotalTime>3</TotalTime>
  <ScaleCrop>false</ScaleCrop>
  <LinksUpToDate>false</LinksUpToDate>
  <CharactersWithSpaces>12045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2020-10-06T12:26:18Z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