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重庆太湖锅炉股份有限公司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李正友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atLeast"/>
              <w:ind w:firstLine="422" w:firstLineChars="200"/>
              <w:rPr>
                <w:rFonts w:hint="eastAsia" w:asci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</w:rPr>
              <w:t>现场查看，在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lang w:val="en-US" w:eastAsia="zh-CN"/>
              </w:rPr>
              <w:t>锅炉试水压试验区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lang w:val="en-US" w:eastAsia="zh-CN"/>
              </w:rPr>
              <w:t>公司试压操作规程规定在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</w:rPr>
              <w:t>保压时间内，一切人员应撤离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lang w:val="en-US" w:eastAsia="zh-CN"/>
              </w:rPr>
              <w:t>但在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</w:rPr>
              <w:t>现场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lang w:val="en-US" w:eastAsia="zh-CN"/>
              </w:rPr>
              <w:t>未见有任何警示标识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  <w:lang w:val="en-US" w:eastAsia="zh-CN"/>
              </w:rPr>
              <w:t>不符合策划及标准要求</w:t>
            </w:r>
            <w:r>
              <w:rPr>
                <w:rFonts w:hint="eastAsia" w:ascii="宋体"/>
                <w:b/>
                <w:bCs/>
                <w:color w:val="000000"/>
                <w:kern w:val="0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8.1.1b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D0442D"/>
    <w:rsid w:val="5FE10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2020-10-12T06:43:27Z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