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239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38"/>
        <w:gridCol w:w="1557"/>
        <w:gridCol w:w="215"/>
        <w:gridCol w:w="558"/>
        <w:gridCol w:w="2170"/>
        <w:gridCol w:w="156"/>
        <w:gridCol w:w="17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欧森(天津)科技有限公司</w:t>
            </w:r>
            <w:bookmarkEnd w:id="4"/>
          </w:p>
        </w:tc>
        <w:tc>
          <w:tcPr>
            <w:tcW w:w="773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17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87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13"/>
                <w:szCs w:val="13"/>
              </w:rPr>
            </w:pPr>
            <w:bookmarkStart w:id="5" w:name="专业代码"/>
            <w:r>
              <w:rPr>
                <w:b/>
                <w:sz w:val="13"/>
                <w:szCs w:val="13"/>
              </w:rPr>
              <w:t>Q：02.09.00;29.12.00;34.05.00;34.06.00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E：02.09.00;29.12.00;34.05.00;34.06.00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13"/>
                <w:szCs w:val="13"/>
              </w:rPr>
              <w:t>O：02.09.00;29.12.00;34.05.00;34.06.00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3768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李俐、</w:t>
            </w:r>
            <w:r>
              <w:rPr>
                <w:b/>
                <w:bCs/>
                <w:sz w:val="21"/>
                <w:szCs w:val="21"/>
              </w:rPr>
              <w:t>薛永宏</w:t>
            </w:r>
          </w:p>
        </w:tc>
        <w:tc>
          <w:tcPr>
            <w:tcW w:w="177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55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1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23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6" w:name="_GoBack"/>
            <w:bookmarkEnd w:id="6"/>
          </w:p>
        </w:tc>
        <w:tc>
          <w:tcPr>
            <w:tcW w:w="55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7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3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55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7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360" w:lineRule="auto"/>
              <w:rPr>
                <w:rFonts w:hint="eastAsia"/>
                <w:b/>
                <w:bCs w:val="0"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auto"/>
                <w:sz w:val="20"/>
                <w:lang w:val="en-US" w:eastAsia="zh-CN"/>
              </w:rPr>
              <w:t>设计开发流程：供销部反馈信息---立项申请---编制设计开发任务书---设计开发输入评审---编制设计开发方案---设计开发输入评审---编制设计计算书---设计图纸---采购清单---设计计算书评审---设计开发输出评审---设计开发确认</w:t>
            </w:r>
          </w:p>
          <w:p>
            <w:pPr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pacing w:val="12"/>
                <w:sz w:val="21"/>
                <w:szCs w:val="21"/>
                <w:lang w:val="en-US" w:eastAsia="zh-CN"/>
              </w:rPr>
              <w:t>销售流程：</w:t>
            </w:r>
            <w:r>
              <w:rPr>
                <w:rFonts w:hint="eastAsia" w:ascii="宋体" w:hAnsi="宋体"/>
                <w:b/>
                <w:bCs w:val="0"/>
                <w:color w:val="auto"/>
                <w:spacing w:val="12"/>
                <w:sz w:val="21"/>
                <w:szCs w:val="21"/>
              </w:rPr>
              <w:t>产品要求信息获取----产品要求评审-----签订合同----采购 -----质检------销售</w:t>
            </w:r>
          </w:p>
        </w:tc>
        <w:tc>
          <w:tcPr>
            <w:tcW w:w="1720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bCs w:val="0"/>
                <w:color w:val="auto"/>
                <w:spacing w:val="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b/>
                <w:sz w:val="20"/>
              </w:rPr>
              <w:t>重点控制设计开发过程</w:t>
            </w:r>
            <w:r>
              <w:rPr>
                <w:rFonts w:hint="eastAsia"/>
                <w:b/>
                <w:sz w:val="20"/>
              </w:rPr>
              <w:t>，根据客户需要进行设计开发，具备专业知识。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重点控制</w:t>
            </w:r>
            <w:r>
              <w:rPr>
                <w:rFonts w:hint="eastAsia"/>
                <w:b/>
                <w:sz w:val="20"/>
                <w:lang w:val="en-US" w:eastAsia="zh-CN"/>
              </w:rPr>
              <w:t>销售</w:t>
            </w:r>
            <w:r>
              <w:rPr>
                <w:b/>
                <w:sz w:val="20"/>
              </w:rPr>
              <w:t>过程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rFonts w:hint="eastAsia"/>
                <w:b/>
                <w:sz w:val="20"/>
                <w:lang w:val="en-US" w:eastAsia="zh-CN"/>
              </w:rPr>
              <w:t>制定销售规范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rFonts w:hint="eastAsia"/>
                <w:b/>
                <w:sz w:val="20"/>
                <w:lang w:val="en-US" w:eastAsia="zh-CN"/>
              </w:rPr>
              <w:t>以顾客为关注焦点</w:t>
            </w:r>
            <w:r>
              <w:rPr>
                <w:rFonts w:hint="eastAsia"/>
                <w:b/>
                <w:sz w:val="20"/>
              </w:rPr>
              <w:t>。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240" w:lineRule="exact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重大环境因素：火灾，固废排放；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控制措施：集中收集外售至废品回收站；提高安全意识；做好火灾预防措施。一旦发生按相关应急预案执行；制定目标、指标；设备、电路定期检修、降低跑冒滴漏。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240" w:lineRule="exact"/>
              <w:jc w:val="left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重大危险源：触电、火灾；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控制措施：目标指标和管理方案、管理规定、运行控制、应急预案、检查控制、教育培训。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DB37/T 2313-2013《智能变频电磁感应加热节能设备通用技术条件》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GB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/T(150-1  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150.4-2011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)《压力容器》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TSG21-2016《固定式压力容器安全技术监察规程》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HJ/T270-2006《环境保护产品技术要求—反渗透水处理装置》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GB 8978-1996   《污水综合排放标准》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GB18599-2001   《一般工业固体废物贮存、处置场污染控制标准》GB/T12642-2013《工业机器人 性能规范及试验方法》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GB/T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20867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-20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07《工业机器人  安全实施规范》</w:t>
            </w: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>检验外观</w:t>
            </w:r>
            <w:r>
              <w:rPr>
                <w:rFonts w:hint="eastAsia"/>
                <w:b/>
                <w:bCs/>
                <w:sz w:val="20"/>
              </w:rPr>
              <w:t>、性能。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审核技巧</w:t>
            </w:r>
          </w:p>
        </w:tc>
        <w:tc>
          <w:tcPr>
            <w:tcW w:w="1720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21"/>
          <w:szCs w:val="21"/>
          <w:lang w:val="en-US" w:eastAsia="zh-CN"/>
        </w:rPr>
        <w:t>李俐、</w:t>
      </w:r>
      <w:r>
        <w:rPr>
          <w:b/>
          <w:bCs/>
          <w:sz w:val="21"/>
          <w:szCs w:val="21"/>
        </w:rPr>
        <w:t>薛永宏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2020.10.3</w:t>
      </w:r>
      <w:r>
        <w:rPr>
          <w:rFonts w:hint="eastAsia"/>
          <w:b/>
          <w:sz w:val="18"/>
          <w:szCs w:val="18"/>
        </w:rPr>
        <w:t xml:space="preserve">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2020.10.3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FCD5ADC"/>
    <w:rsid w:val="3F7C0CFC"/>
    <w:rsid w:val="4CBF21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2</TotalTime>
  <ScaleCrop>false</ScaleCrop>
  <LinksUpToDate>false</LinksUpToDate>
  <CharactersWithSpaces>314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伍光华</cp:lastModifiedBy>
  <dcterms:modified xsi:type="dcterms:W3CDTF">2020-10-10T02:54:06Z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