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宜兴市恒通塑业有限公司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岳树亮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李青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土工布工艺流程：</w:t>
            </w:r>
          </w:p>
          <w:p>
            <w:pPr>
              <w:bidi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聚丙烯颗粒验收--加热熔融--拉丝---聚丙烯丝--织造--质检--成品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eastAsia="宋体"/>
                <w:szCs w:val="22"/>
                <w:lang w:val="en-US" w:eastAsia="zh-CN"/>
              </w:rPr>
              <w:t>销售流程图</w:t>
            </w:r>
          </w:p>
          <w:p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签订合同</w:t>
            </w:r>
            <w:r>
              <w:rPr>
                <w:rFonts w:hint="eastAsia" w:ascii="宋体" w:hAnsi="宋体"/>
                <w:bCs/>
                <w:lang w:val="en-US" w:eastAsia="zh-CN"/>
              </w:rPr>
              <w:t>--原材料</w:t>
            </w:r>
            <w:r>
              <w:rPr>
                <w:rFonts w:ascii="宋体" w:hAnsi="宋体"/>
                <w:bCs/>
              </w:rPr>
              <w:t>采购</w:t>
            </w:r>
            <w:r>
              <w:rPr>
                <w:rFonts w:hint="eastAsia" w:ascii="宋体" w:hAnsi="宋体"/>
                <w:bCs/>
                <w:lang w:val="en-US" w:eastAsia="zh-CN"/>
              </w:rPr>
              <w:t>--生产--检验合格--运输--客户</w:t>
            </w:r>
            <w:r>
              <w:rPr>
                <w:rFonts w:ascii="宋体" w:hAnsi="宋体"/>
                <w:bCs/>
              </w:rPr>
              <w:t>验收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Cs w:val="22"/>
                <w:lang w:val="en-US" w:eastAsia="zh-CN"/>
              </w:rPr>
              <w:t>关键过程：熔融拉丝，特殊过程：销售；对特殊过程编辑了《特殊(关键)过程确认单》，操作过程制定《作业指导书》、《操作规程》，提供《生产过程控制记录》对特殊工序进行过程监控，生产结束后对成品进行成品检测，检测合格方能入库销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1"/>
              <w:gridCol w:w="3259"/>
              <w:gridCol w:w="33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16"/>
                      <w:vertAlign w:val="baseline"/>
                      <w:lang w:val="en-US" w:eastAsia="zh-CN"/>
                    </w:rPr>
                    <w:t>主要环境因素</w:t>
                  </w:r>
                </w:p>
              </w:tc>
              <w:tc>
                <w:tcPr>
                  <w:tcW w:w="3259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状态</w:t>
                  </w:r>
                </w:p>
              </w:tc>
              <w:tc>
                <w:tcPr>
                  <w:tcW w:w="332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16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16"/>
                      <w:lang w:val="en-US" w:eastAsia="zh-CN"/>
                    </w:rPr>
                    <w:t>发生火灾</w:t>
                  </w:r>
                </w:p>
              </w:tc>
              <w:tc>
                <w:tcPr>
                  <w:tcW w:w="325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21"/>
                      <w:lang w:val="en-GB" w:eastAsia="zh-CN" w:bidi="ar-SA"/>
                    </w:rPr>
                  </w:pPr>
                  <w:r>
                    <w:rPr>
                      <w:rFonts w:hint="default"/>
                      <w:color w:val="000000"/>
                      <w:sz w:val="21"/>
                      <w:szCs w:val="16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1"/>
                      <w:szCs w:val="16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sz w:val="21"/>
                      <w:szCs w:val="16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16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sz w:val="21"/>
                      <w:szCs w:val="16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16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32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加强日常消防检查，预防明火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</w:trPr>
              <w:tc>
                <w:tcPr>
                  <w:tcW w:w="156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sz w:val="21"/>
                      <w:szCs w:val="16"/>
                    </w:rPr>
                  </w:pPr>
                  <w:r>
                    <w:rPr>
                      <w:rFonts w:hint="eastAsia"/>
                      <w:sz w:val="21"/>
                      <w:szCs w:val="16"/>
                      <w:lang w:val="en-US" w:eastAsia="zh-CN"/>
                    </w:rPr>
                    <w:t>电和蒸汽消耗</w:t>
                  </w:r>
                </w:p>
              </w:tc>
              <w:tc>
                <w:tcPr>
                  <w:tcW w:w="325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sz w:val="21"/>
                      <w:szCs w:val="16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16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sz w:val="21"/>
                      <w:szCs w:val="16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16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sz w:val="21"/>
                      <w:szCs w:val="16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1"/>
                      <w:szCs w:val="16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32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管理节能、变频器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56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sz w:val="21"/>
                      <w:szCs w:val="16"/>
                    </w:rPr>
                  </w:pPr>
                  <w:r>
                    <w:rPr>
                      <w:rFonts w:hint="eastAsia"/>
                      <w:sz w:val="21"/>
                      <w:szCs w:val="16"/>
                    </w:rPr>
                    <w:t>固废的排放</w:t>
                  </w:r>
                </w:p>
              </w:tc>
              <w:tc>
                <w:tcPr>
                  <w:tcW w:w="325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sz w:val="21"/>
                      <w:szCs w:val="16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16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sz w:val="21"/>
                      <w:szCs w:val="16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16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sz w:val="21"/>
                      <w:szCs w:val="16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16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32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集中收集、</w:t>
                  </w:r>
                  <w:r>
                    <w:rPr>
                      <w:rFonts w:hint="eastAsia" w:ascii="宋体" w:hAnsi="宋体"/>
                      <w:sz w:val="21"/>
                      <w:szCs w:val="16"/>
                    </w:rPr>
                    <w:t>按照规定废品回收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0"/>
                      <w:lang w:val="en-US" w:eastAsia="zh-CN"/>
                    </w:rPr>
                    <w:t>粉尘</w:t>
                  </w:r>
                </w:p>
              </w:tc>
              <w:tc>
                <w:tcPr>
                  <w:tcW w:w="325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sz w:val="21"/>
                      <w:szCs w:val="16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16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sz w:val="21"/>
                      <w:szCs w:val="16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16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sz w:val="21"/>
                      <w:szCs w:val="16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16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32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粉尘达标管理方案，佩戴劳保用品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0"/>
                      <w:lang w:val="en-US" w:eastAsia="zh-CN"/>
                    </w:rPr>
                    <w:t>噪声</w:t>
                  </w:r>
                </w:p>
              </w:tc>
              <w:tc>
                <w:tcPr>
                  <w:tcW w:w="325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sz w:val="21"/>
                      <w:szCs w:val="16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16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sz w:val="21"/>
                      <w:szCs w:val="16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16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sz w:val="21"/>
                      <w:szCs w:val="16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16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32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噪声达标管理方案，佩戴劳保用品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6"/>
              <w:tblW w:w="813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31"/>
              <w:gridCol w:w="2111"/>
              <w:gridCol w:w="39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重要危险源</w:t>
                  </w:r>
                </w:p>
              </w:tc>
              <w:tc>
                <w:tcPr>
                  <w:tcW w:w="211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职业健康安全风险</w:t>
                  </w:r>
                </w:p>
              </w:tc>
              <w:tc>
                <w:tcPr>
                  <w:tcW w:w="398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3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粉尘</w:t>
                  </w:r>
                </w:p>
              </w:tc>
              <w:tc>
                <w:tcPr>
                  <w:tcW w:w="211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尘肺病</w:t>
                  </w:r>
                </w:p>
              </w:tc>
              <w:tc>
                <w:tcPr>
                  <w:tcW w:w="398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粉尘达标管理方案，佩戴劳保用品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3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噪声</w:t>
                  </w:r>
                </w:p>
              </w:tc>
              <w:tc>
                <w:tcPr>
                  <w:tcW w:w="211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耳聋</w:t>
                  </w:r>
                </w:p>
              </w:tc>
              <w:tc>
                <w:tcPr>
                  <w:tcW w:w="398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噪声达标管理方案，佩戴劳保用品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安全用电</w:t>
                  </w:r>
                </w:p>
              </w:tc>
              <w:tc>
                <w:tcPr>
                  <w:tcW w:w="211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触电</w:t>
                  </w:r>
                </w:p>
              </w:tc>
              <w:tc>
                <w:tcPr>
                  <w:tcW w:w="398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禁止乱接乱接、日常检查电源线是否老化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火灾</w:t>
                  </w:r>
                </w:p>
              </w:tc>
              <w:tc>
                <w:tcPr>
                  <w:tcW w:w="211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灼烧</w:t>
                  </w:r>
                </w:p>
              </w:tc>
              <w:tc>
                <w:tcPr>
                  <w:tcW w:w="398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操作现场禁止吸烟，安全用电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u w:val="single"/>
                <w:lang w:val="en-US" w:eastAsia="zh-CN"/>
              </w:rPr>
              <w:t>GB/T17641-2017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2020.9.26</w:t>
      </w:r>
      <w:r>
        <w:rPr>
          <w:rFonts w:hint="eastAsia"/>
          <w:b/>
          <w:sz w:val="18"/>
          <w:szCs w:val="18"/>
        </w:rPr>
        <w:t xml:space="preserve">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2020.9.26</w:t>
      </w:r>
      <w:r>
        <w:rPr>
          <w:rFonts w:hint="eastAsia"/>
          <w:b/>
          <w:sz w:val="18"/>
          <w:szCs w:val="18"/>
        </w:rPr>
        <w:t xml:space="preserve">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788A08"/>
    <w:multiLevelType w:val="singleLevel"/>
    <w:tmpl w:val="E2788A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110258A"/>
    <w:rsid w:val="3B310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张磊</cp:lastModifiedBy>
  <dcterms:modified xsi:type="dcterms:W3CDTF">2020-10-09T23:54:22Z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