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88"/>
        <w:gridCol w:w="1054"/>
        <w:gridCol w:w="982"/>
        <w:gridCol w:w="596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重庆能科工程勘察有限公司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Q：34.01.02;34.06.00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E：34.01.02;34.06.00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O：34.01.02;34.06.00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322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59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Q:34.01.02,34.06.00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E:34.01.02,34.06.00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O:34.01.02,34.06.00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8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05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98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59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Q:34.06.00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E:34.01.02,34.06.00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O:34.01.02,34.06.00</w:t>
            </w: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Q:34.06.00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E:34.06.00</w:t>
            </w:r>
          </w:p>
        </w:tc>
        <w:tc>
          <w:tcPr>
            <w:tcW w:w="98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59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服务过程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地质灾害危险性评估、测绘及固体矿产勘查流程：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合同签订-现场勘查、测量-编制报告-内审-送审—变更（需要时）-交付客户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工程勘察流程：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合同签订-现场勘查、测量、施工-编制报告-内审-送审—变更（需要时）-交付客户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关键过程：勘查、测量、编制过程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过程的控制</w:t>
            </w:r>
            <w:r>
              <w:rPr>
                <w:rFonts w:hint="eastAsia"/>
                <w:b/>
                <w:sz w:val="20"/>
                <w:lang w:eastAsia="zh-CN"/>
              </w:rPr>
              <w:t>：测量-编制报告</w:t>
            </w:r>
            <w:r>
              <w:rPr>
                <w:rFonts w:hint="eastAsia"/>
                <w:b/>
                <w:sz w:val="20"/>
                <w:szCs w:val="22"/>
              </w:rPr>
              <w:t>报告工序，依据检验规程进行检测和处理数据。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szCs w:val="22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重要环境及控</w:t>
            </w:r>
            <w:r>
              <w:rPr>
                <w:rFonts w:hint="eastAsia"/>
                <w:b/>
                <w:sz w:val="20"/>
                <w:szCs w:val="22"/>
              </w:rPr>
              <w:t>制措施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1、</w:t>
            </w:r>
            <w:r>
              <w:rPr>
                <w:rFonts w:hint="eastAsia"/>
                <w:b/>
                <w:sz w:val="20"/>
                <w:szCs w:val="22"/>
              </w:rPr>
              <w:t>固废排放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；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2、</w:t>
            </w:r>
            <w:r>
              <w:rPr>
                <w:rFonts w:hint="eastAsia"/>
                <w:b/>
                <w:sz w:val="20"/>
                <w:szCs w:val="22"/>
              </w:rPr>
              <w:t>火灾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；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3、</w:t>
            </w:r>
            <w:r>
              <w:rPr>
                <w:rFonts w:hint="eastAsia"/>
                <w:b/>
                <w:sz w:val="20"/>
                <w:szCs w:val="22"/>
              </w:rPr>
              <w:t>废气排放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控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0"/>
              </w:rPr>
              <w:t>制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 w:val="20"/>
              </w:rPr>
              <w:t>措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0"/>
              </w:rPr>
              <w:t>施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1、</w:t>
            </w:r>
            <w:r>
              <w:rPr>
                <w:rFonts w:hint="eastAsia"/>
                <w:b/>
                <w:sz w:val="20"/>
                <w:szCs w:val="22"/>
              </w:rPr>
              <w:t>环境目标管理方案、运行控制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；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2、</w:t>
            </w:r>
            <w:r>
              <w:rPr>
                <w:rFonts w:hint="eastAsia"/>
                <w:b/>
                <w:sz w:val="20"/>
                <w:szCs w:val="22"/>
              </w:rPr>
              <w:t>运行控制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；3、</w:t>
            </w:r>
            <w:r>
              <w:rPr>
                <w:rFonts w:hint="eastAsia"/>
                <w:b/>
                <w:sz w:val="20"/>
                <w:szCs w:val="22"/>
              </w:rPr>
              <w:t>环境目标管理方案、运行控制及应急预案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szCs w:val="22"/>
                <w:lang w:eastAsia="zh-CN"/>
              </w:rPr>
            </w:pPr>
            <w:r>
              <w:rPr>
                <w:rFonts w:hint="eastAsia"/>
                <w:b/>
                <w:sz w:val="20"/>
              </w:rPr>
              <w:t>不可接受风险的危险</w:t>
            </w:r>
            <w:r>
              <w:rPr>
                <w:rFonts w:hint="eastAsia"/>
                <w:b/>
                <w:sz w:val="20"/>
                <w:szCs w:val="22"/>
              </w:rPr>
              <w:t>源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:1、</w:t>
            </w:r>
            <w:r>
              <w:rPr>
                <w:rFonts w:hint="eastAsia"/>
                <w:b/>
                <w:sz w:val="20"/>
                <w:szCs w:val="22"/>
              </w:rPr>
              <w:t>火灾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；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2、触</w:t>
            </w:r>
            <w:r>
              <w:rPr>
                <w:rFonts w:hint="eastAsia"/>
                <w:b/>
                <w:sz w:val="20"/>
                <w:szCs w:val="22"/>
              </w:rPr>
              <w:t>电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；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3、</w:t>
            </w:r>
            <w:r>
              <w:rPr>
                <w:rFonts w:hint="eastAsia"/>
                <w:b/>
                <w:sz w:val="20"/>
                <w:szCs w:val="22"/>
              </w:rPr>
              <w:t>交通事故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；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4、</w:t>
            </w:r>
            <w:r>
              <w:rPr>
                <w:rFonts w:hint="eastAsia"/>
                <w:b/>
                <w:sz w:val="20"/>
                <w:szCs w:val="22"/>
              </w:rPr>
              <w:t>意外伤害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控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 w:val="20"/>
              </w:rPr>
              <w:t>制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 w:val="20"/>
              </w:rPr>
              <w:t>措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0"/>
              </w:rPr>
              <w:t>施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1、</w:t>
            </w:r>
            <w:r>
              <w:rPr>
                <w:rFonts w:hint="eastAsia"/>
                <w:b/>
                <w:sz w:val="20"/>
                <w:szCs w:val="22"/>
              </w:rPr>
              <w:t>a)制定OHS目标b)制定OHS管理方案c)制定和执行OHS运行程序或作业文件d) 定期/不定期进行安全检查e) 制定应急预案，配备应急设施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；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2、</w:t>
            </w:r>
            <w:r>
              <w:rPr>
                <w:rFonts w:hint="eastAsia"/>
                <w:b/>
                <w:sz w:val="20"/>
                <w:szCs w:val="22"/>
              </w:rPr>
              <w:t>a)制定OHS目标b) 定期对人员进行安全教育培训c) 定期/不定期进行安全检查d) 制定应急预案，配备应急设施e) 制定OHS管理方案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3、</w:t>
            </w:r>
            <w:r>
              <w:rPr>
                <w:rFonts w:hint="eastAsia"/>
                <w:b/>
                <w:sz w:val="20"/>
                <w:szCs w:val="22"/>
              </w:rPr>
              <w:t>a)制定OHS目标b)制定OHS管理方案c)制定和执行OHS运行程序或作业文件d) 定期/不定期进行安全检查e) 制定应急预案，配备应急设施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4、a</w:t>
            </w:r>
            <w:r>
              <w:rPr>
                <w:rFonts w:hint="eastAsia"/>
                <w:b/>
                <w:sz w:val="20"/>
                <w:szCs w:val="22"/>
              </w:rPr>
              <w:t>)制定OHS目标b) 定期对人员进行安全教育培训c) 定期/不定期进行安全检查d) 制定应急预案，配备应急设施e) 制定OHS管理方案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工程地质勘察规范》DBJ50-0430-2016、《岩土工程勘察规范》GB50021-2009、《建筑工程地质勘察与取样技术规程》JGJ/T87-2012、《测绘成果质量检查与验收》GB/T24356-2009、《建设项目用地勘测定界技术规程》、《固体矿产地质勘查规范总则》GB/T13908-2002、《工程测量规范》GB50026-2007、《固体矿产资源/储量分类》GB/T17766-1999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检测项目按规程执行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   </w:t>
      </w:r>
      <w:bookmarkStart w:id="5" w:name="_GoBack"/>
      <w:bookmarkEnd w:id="5"/>
      <w:r>
        <w:rPr>
          <w:rFonts w:hint="eastAsia" w:ascii="宋体"/>
          <w:b/>
          <w:sz w:val="22"/>
          <w:szCs w:val="22"/>
        </w:rPr>
        <w:t>日期：</w:t>
      </w:r>
      <w:r>
        <w:rPr>
          <w:rFonts w:hint="eastAsia" w:ascii="宋体"/>
          <w:b/>
          <w:sz w:val="22"/>
          <w:szCs w:val="22"/>
          <w:lang w:val="en-US" w:eastAsia="zh-CN"/>
        </w:rPr>
        <w:t>2020年10月10日</w:t>
      </w:r>
      <w:r>
        <w:rPr>
          <w:rFonts w:hint="eastAsia" w:ascii="宋体"/>
          <w:b/>
          <w:sz w:val="22"/>
          <w:szCs w:val="22"/>
        </w:rPr>
        <w:t xml:space="preserve">  审核组长：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    </w:t>
      </w:r>
      <w:r>
        <w:rPr>
          <w:rFonts w:hint="eastAsia" w:ascii="宋体"/>
          <w:b/>
          <w:sz w:val="22"/>
          <w:szCs w:val="22"/>
        </w:rPr>
        <w:t>日期：</w:t>
      </w:r>
      <w:r>
        <w:rPr>
          <w:rFonts w:hint="eastAsia" w:ascii="宋体"/>
          <w:b/>
          <w:sz w:val="22"/>
          <w:szCs w:val="22"/>
          <w:lang w:val="en-US" w:eastAsia="zh-CN"/>
        </w:rPr>
        <w:t>2020年10月10日</w:t>
      </w:r>
      <w:r>
        <w:rPr>
          <w:rFonts w:hint="eastAsia" w:ascii="宋体"/>
          <w:b/>
          <w:sz w:val="22"/>
          <w:szCs w:val="22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4427206"/>
    <w:rsid w:val="70CB66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2020-10-10T03:43:09Z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