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3D" w:rsidRDefault="00C176C4" w:rsidP="00686CF6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C07A3D" w:rsidRDefault="00C176C4" w:rsidP="00686CF6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251"/>
        <w:gridCol w:w="1279"/>
        <w:gridCol w:w="1290"/>
        <w:gridCol w:w="1505"/>
        <w:gridCol w:w="1720"/>
        <w:gridCol w:w="1379"/>
      </w:tblGrid>
      <w:tr w:rsidR="00C07A3D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C07A3D" w:rsidRDefault="00C176C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C07A3D" w:rsidRDefault="00C176C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重庆能科工程勘察有限公司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C07A3D" w:rsidRDefault="00C176C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C07A3D" w:rsidRDefault="00C176C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C07A3D" w:rsidRDefault="00C176C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34.01.02;34.06.00</w:t>
            </w:r>
          </w:p>
          <w:p w:rsidR="00C07A3D" w:rsidRDefault="00C176C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34.01.02;34.06.00</w:t>
            </w:r>
          </w:p>
          <w:p w:rsidR="00C07A3D" w:rsidRDefault="00C176C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34.01.02;34.06.00</w:t>
            </w:r>
            <w:bookmarkEnd w:id="5"/>
          </w:p>
        </w:tc>
      </w:tr>
      <w:tr w:rsidR="00C07A3D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C07A3D" w:rsidRDefault="00C176C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C07A3D" w:rsidRDefault="00C176C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90" w:type="dxa"/>
            <w:vAlign w:val="center"/>
          </w:tcPr>
          <w:p w:rsidR="00C07A3D" w:rsidRDefault="00C176C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C07A3D" w:rsidRDefault="00C176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Q:34.01.02,34.06.00</w:t>
            </w:r>
          </w:p>
          <w:p w:rsidR="00C07A3D" w:rsidRDefault="00C176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E:34.01.02,34.06.00</w:t>
            </w:r>
          </w:p>
          <w:p w:rsidR="00C07A3D" w:rsidRDefault="00C176C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O:34.01.02,34.06.00</w:t>
            </w:r>
          </w:p>
        </w:tc>
        <w:tc>
          <w:tcPr>
            <w:tcW w:w="1720" w:type="dxa"/>
            <w:vAlign w:val="center"/>
          </w:tcPr>
          <w:p w:rsidR="00C07A3D" w:rsidRDefault="00C176C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C07A3D" w:rsidRDefault="00C176C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C07A3D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C07A3D" w:rsidRDefault="00C176C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C07A3D" w:rsidRDefault="00C176C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51" w:type="dxa"/>
            <w:vAlign w:val="center"/>
          </w:tcPr>
          <w:p w:rsidR="00C07A3D" w:rsidRDefault="00C176C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冉景洲</w:t>
            </w:r>
          </w:p>
        </w:tc>
        <w:tc>
          <w:tcPr>
            <w:tcW w:w="1279" w:type="dxa"/>
            <w:vAlign w:val="center"/>
          </w:tcPr>
          <w:p w:rsidR="00C07A3D" w:rsidRDefault="00C07A3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C07A3D" w:rsidRDefault="00C07A3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C07A3D" w:rsidRDefault="00C07A3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C07A3D" w:rsidRDefault="00C07A3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C07A3D" w:rsidRDefault="00C07A3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C07A3D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C07A3D" w:rsidRDefault="00C07A3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C07A3D" w:rsidRDefault="00C176C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51" w:type="dxa"/>
            <w:vAlign w:val="center"/>
          </w:tcPr>
          <w:p w:rsidR="00C07A3D" w:rsidRDefault="00C176C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279" w:type="dxa"/>
            <w:vAlign w:val="center"/>
          </w:tcPr>
          <w:p w:rsidR="00C07A3D" w:rsidRDefault="00C07A3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C07A3D" w:rsidRDefault="00C07A3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C07A3D" w:rsidRDefault="00C07A3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C07A3D" w:rsidRDefault="00C07A3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C07A3D" w:rsidRDefault="00C07A3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C07A3D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07A3D" w:rsidRDefault="00C176C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6" w:name="_GoBack" w:colFirst="2" w:colLast="7"/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C07A3D" w:rsidRDefault="00C176C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C07A3D" w:rsidRDefault="00C176C4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  <w:r>
              <w:rPr>
                <w:rFonts w:hint="eastAsia"/>
                <w:b/>
                <w:sz w:val="20"/>
              </w:rPr>
              <w:t>：</w:t>
            </w:r>
          </w:p>
          <w:p w:rsidR="00C07A3D" w:rsidRDefault="00C176C4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地质灾害危险性评估、测绘及固体矿产勘查流程：</w:t>
            </w:r>
          </w:p>
          <w:p w:rsidR="00C07A3D" w:rsidRDefault="00C176C4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合同签订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rFonts w:hint="eastAsia"/>
                <w:b/>
                <w:sz w:val="20"/>
              </w:rPr>
              <w:t>现场勘查、测量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rFonts w:hint="eastAsia"/>
                <w:b/>
                <w:sz w:val="20"/>
              </w:rPr>
              <w:t>编制报告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rFonts w:hint="eastAsia"/>
                <w:b/>
                <w:sz w:val="20"/>
              </w:rPr>
              <w:t>内审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rFonts w:hint="eastAsia"/>
                <w:b/>
                <w:sz w:val="20"/>
              </w:rPr>
              <w:t>送审—变更（需要时）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rFonts w:hint="eastAsia"/>
                <w:b/>
                <w:sz w:val="20"/>
              </w:rPr>
              <w:t>交付客户</w:t>
            </w:r>
          </w:p>
          <w:p w:rsidR="00C07A3D" w:rsidRDefault="00C176C4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工程勘察流程：</w:t>
            </w:r>
          </w:p>
          <w:p w:rsidR="00C07A3D" w:rsidRDefault="00C176C4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合同签订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rFonts w:hint="eastAsia"/>
                <w:b/>
                <w:sz w:val="20"/>
              </w:rPr>
              <w:t>现场勘查、测量、施工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rFonts w:hint="eastAsia"/>
                <w:b/>
                <w:sz w:val="20"/>
              </w:rPr>
              <w:t>编制报告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rFonts w:hint="eastAsia"/>
                <w:b/>
                <w:sz w:val="20"/>
              </w:rPr>
              <w:t>内审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rFonts w:hint="eastAsia"/>
                <w:b/>
                <w:sz w:val="20"/>
              </w:rPr>
              <w:t>送审—变更（需要时）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rFonts w:hint="eastAsia"/>
                <w:b/>
                <w:sz w:val="20"/>
              </w:rPr>
              <w:t>交付客户</w:t>
            </w:r>
          </w:p>
        </w:tc>
      </w:tr>
      <w:tr w:rsidR="00C07A3D" w:rsidTr="00686CF6">
        <w:trPr>
          <w:cantSplit/>
          <w:trHeight w:val="30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07A3D" w:rsidRDefault="00C176C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C07A3D" w:rsidRDefault="00C176C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C07A3D" w:rsidRDefault="00C176C4" w:rsidP="00686CF6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 w:rsidR="00C07A3D" w:rsidRDefault="00C176C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检测、出具报告工序，依据检验规程进行检测和处理数据。</w:t>
            </w:r>
          </w:p>
        </w:tc>
      </w:tr>
      <w:tr w:rsidR="00C07A3D" w:rsidTr="00686CF6">
        <w:trPr>
          <w:cantSplit/>
          <w:trHeight w:val="72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07A3D" w:rsidRDefault="00C176C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C07A3D" w:rsidRDefault="00C176C4">
            <w:pPr>
              <w:snapToGrid w:val="0"/>
              <w:spacing w:line="280" w:lineRule="exac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</w:rPr>
              <w:t>重要环境及控</w:t>
            </w:r>
            <w:r>
              <w:rPr>
                <w:rFonts w:hint="eastAsia"/>
                <w:b/>
                <w:sz w:val="20"/>
                <w:szCs w:val="22"/>
              </w:rPr>
              <w:t>制措施</w:t>
            </w:r>
            <w:r>
              <w:rPr>
                <w:rFonts w:hint="eastAsia"/>
                <w:b/>
                <w:sz w:val="20"/>
                <w:szCs w:val="22"/>
              </w:rPr>
              <w:t>：</w:t>
            </w:r>
            <w:r>
              <w:rPr>
                <w:rFonts w:hint="eastAsia"/>
                <w:b/>
                <w:sz w:val="20"/>
                <w:szCs w:val="22"/>
              </w:rPr>
              <w:t>1</w:t>
            </w:r>
            <w:r>
              <w:rPr>
                <w:rFonts w:hint="eastAsia"/>
                <w:b/>
                <w:sz w:val="20"/>
                <w:szCs w:val="22"/>
              </w:rPr>
              <w:t>、</w:t>
            </w:r>
            <w:r>
              <w:rPr>
                <w:rFonts w:hint="eastAsia"/>
                <w:b/>
                <w:sz w:val="20"/>
                <w:szCs w:val="22"/>
              </w:rPr>
              <w:t>固废排放</w:t>
            </w:r>
            <w:r>
              <w:rPr>
                <w:rFonts w:hint="eastAsia"/>
                <w:b/>
                <w:sz w:val="20"/>
                <w:szCs w:val="22"/>
              </w:rPr>
              <w:t>；</w:t>
            </w:r>
            <w:r>
              <w:rPr>
                <w:rFonts w:hint="eastAsia"/>
                <w:b/>
                <w:sz w:val="20"/>
                <w:szCs w:val="22"/>
              </w:rPr>
              <w:t>2</w:t>
            </w:r>
            <w:r>
              <w:rPr>
                <w:rFonts w:hint="eastAsia"/>
                <w:b/>
                <w:sz w:val="20"/>
                <w:szCs w:val="22"/>
              </w:rPr>
              <w:t>、</w:t>
            </w:r>
            <w:r>
              <w:rPr>
                <w:rFonts w:hint="eastAsia"/>
                <w:b/>
                <w:sz w:val="20"/>
                <w:szCs w:val="22"/>
              </w:rPr>
              <w:t>火灾</w:t>
            </w:r>
            <w:r>
              <w:rPr>
                <w:rFonts w:hint="eastAsia"/>
                <w:b/>
                <w:sz w:val="20"/>
                <w:szCs w:val="22"/>
              </w:rPr>
              <w:t>；</w:t>
            </w:r>
            <w:r>
              <w:rPr>
                <w:rFonts w:hint="eastAsia"/>
                <w:b/>
                <w:sz w:val="20"/>
                <w:szCs w:val="22"/>
              </w:rPr>
              <w:t>3</w:t>
            </w:r>
            <w:r>
              <w:rPr>
                <w:rFonts w:hint="eastAsia"/>
                <w:b/>
                <w:sz w:val="20"/>
                <w:szCs w:val="22"/>
              </w:rPr>
              <w:t>、</w:t>
            </w:r>
            <w:r>
              <w:rPr>
                <w:rFonts w:hint="eastAsia"/>
                <w:b/>
                <w:sz w:val="20"/>
                <w:szCs w:val="22"/>
              </w:rPr>
              <w:t>废气排放</w:t>
            </w:r>
            <w:r>
              <w:rPr>
                <w:rFonts w:hint="eastAsia"/>
                <w:b/>
                <w:sz w:val="20"/>
                <w:szCs w:val="22"/>
              </w:rPr>
              <w:t>。</w:t>
            </w:r>
          </w:p>
          <w:p w:rsidR="00C07A3D" w:rsidRDefault="00C176C4">
            <w:pPr>
              <w:snapToGrid w:val="0"/>
              <w:spacing w:line="280" w:lineRule="exac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</w:rPr>
              <w:t>控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b/>
                <w:sz w:val="20"/>
              </w:rPr>
              <w:t>制</w:t>
            </w:r>
            <w:r>
              <w:rPr>
                <w:rFonts w:hint="eastAsia"/>
                <w:b/>
                <w:sz w:val="20"/>
              </w:rPr>
              <w:t xml:space="preserve">    </w:t>
            </w:r>
            <w:r>
              <w:rPr>
                <w:rFonts w:hint="eastAsia"/>
                <w:b/>
                <w:sz w:val="20"/>
              </w:rPr>
              <w:t>措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b/>
                <w:sz w:val="20"/>
              </w:rPr>
              <w:t>施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szCs w:val="22"/>
              </w:rPr>
              <w:t>1</w:t>
            </w:r>
            <w:r>
              <w:rPr>
                <w:rFonts w:hint="eastAsia"/>
                <w:b/>
                <w:sz w:val="20"/>
                <w:szCs w:val="22"/>
              </w:rPr>
              <w:t>、</w:t>
            </w:r>
            <w:r>
              <w:rPr>
                <w:rFonts w:hint="eastAsia"/>
                <w:b/>
                <w:sz w:val="20"/>
                <w:szCs w:val="22"/>
              </w:rPr>
              <w:t>环境目标管理方案、运行控制</w:t>
            </w:r>
            <w:r>
              <w:rPr>
                <w:rFonts w:hint="eastAsia"/>
                <w:b/>
                <w:sz w:val="20"/>
                <w:szCs w:val="22"/>
              </w:rPr>
              <w:t>；</w:t>
            </w:r>
            <w:r>
              <w:rPr>
                <w:rFonts w:hint="eastAsia"/>
                <w:b/>
                <w:sz w:val="20"/>
                <w:szCs w:val="22"/>
              </w:rPr>
              <w:t>2</w:t>
            </w:r>
            <w:r>
              <w:rPr>
                <w:rFonts w:hint="eastAsia"/>
                <w:b/>
                <w:sz w:val="20"/>
                <w:szCs w:val="22"/>
              </w:rPr>
              <w:t>、</w:t>
            </w:r>
            <w:r>
              <w:rPr>
                <w:rFonts w:hint="eastAsia"/>
                <w:b/>
                <w:sz w:val="20"/>
                <w:szCs w:val="22"/>
              </w:rPr>
              <w:t>运行控制</w:t>
            </w:r>
            <w:r>
              <w:rPr>
                <w:rFonts w:hint="eastAsia"/>
                <w:b/>
                <w:sz w:val="20"/>
                <w:szCs w:val="22"/>
              </w:rPr>
              <w:t>；</w:t>
            </w:r>
            <w:r>
              <w:rPr>
                <w:rFonts w:hint="eastAsia"/>
                <w:b/>
                <w:sz w:val="20"/>
                <w:szCs w:val="22"/>
              </w:rPr>
              <w:t>3</w:t>
            </w:r>
            <w:r>
              <w:rPr>
                <w:rFonts w:hint="eastAsia"/>
                <w:b/>
                <w:sz w:val="20"/>
                <w:szCs w:val="22"/>
              </w:rPr>
              <w:t>、</w:t>
            </w:r>
            <w:r>
              <w:rPr>
                <w:rFonts w:hint="eastAsia"/>
                <w:b/>
                <w:sz w:val="20"/>
                <w:szCs w:val="22"/>
              </w:rPr>
              <w:t>环境目标管理方案、运行控制及应急预案</w:t>
            </w:r>
            <w:r>
              <w:rPr>
                <w:rFonts w:hint="eastAsia"/>
                <w:b/>
                <w:sz w:val="20"/>
                <w:szCs w:val="22"/>
              </w:rPr>
              <w:t>。</w:t>
            </w:r>
          </w:p>
        </w:tc>
      </w:tr>
      <w:tr w:rsidR="00C07A3D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07A3D" w:rsidRDefault="00C176C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C07A3D" w:rsidRDefault="00C176C4">
            <w:pPr>
              <w:snapToGrid w:val="0"/>
              <w:spacing w:line="280" w:lineRule="exac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</w:rPr>
              <w:t>不可接受风险的危险</w:t>
            </w:r>
            <w:r>
              <w:rPr>
                <w:rFonts w:hint="eastAsia"/>
                <w:b/>
                <w:sz w:val="20"/>
                <w:szCs w:val="22"/>
              </w:rPr>
              <w:t>源</w:t>
            </w:r>
            <w:r>
              <w:rPr>
                <w:rFonts w:hint="eastAsia"/>
                <w:b/>
                <w:sz w:val="20"/>
                <w:szCs w:val="22"/>
              </w:rPr>
              <w:t>:1</w:t>
            </w:r>
            <w:r>
              <w:rPr>
                <w:rFonts w:hint="eastAsia"/>
                <w:b/>
                <w:sz w:val="20"/>
                <w:szCs w:val="22"/>
              </w:rPr>
              <w:t>、</w:t>
            </w:r>
            <w:r>
              <w:rPr>
                <w:rFonts w:hint="eastAsia"/>
                <w:b/>
                <w:sz w:val="20"/>
                <w:szCs w:val="22"/>
              </w:rPr>
              <w:t>火灾</w:t>
            </w:r>
            <w:r>
              <w:rPr>
                <w:rFonts w:hint="eastAsia"/>
                <w:b/>
                <w:sz w:val="20"/>
                <w:szCs w:val="22"/>
              </w:rPr>
              <w:t>；</w:t>
            </w:r>
            <w:r>
              <w:rPr>
                <w:rFonts w:hint="eastAsia"/>
                <w:b/>
                <w:sz w:val="20"/>
                <w:szCs w:val="22"/>
              </w:rPr>
              <w:t>2</w:t>
            </w:r>
            <w:r>
              <w:rPr>
                <w:rFonts w:hint="eastAsia"/>
                <w:b/>
                <w:sz w:val="20"/>
                <w:szCs w:val="22"/>
              </w:rPr>
              <w:t>、触</w:t>
            </w:r>
            <w:r>
              <w:rPr>
                <w:rFonts w:hint="eastAsia"/>
                <w:b/>
                <w:sz w:val="20"/>
                <w:szCs w:val="22"/>
              </w:rPr>
              <w:t>电</w:t>
            </w:r>
            <w:r>
              <w:rPr>
                <w:rFonts w:hint="eastAsia"/>
                <w:b/>
                <w:sz w:val="20"/>
                <w:szCs w:val="22"/>
              </w:rPr>
              <w:t>；</w:t>
            </w:r>
            <w:r>
              <w:rPr>
                <w:rFonts w:hint="eastAsia"/>
                <w:b/>
                <w:sz w:val="20"/>
                <w:szCs w:val="22"/>
              </w:rPr>
              <w:t>3</w:t>
            </w:r>
            <w:r>
              <w:rPr>
                <w:rFonts w:hint="eastAsia"/>
                <w:b/>
                <w:sz w:val="20"/>
                <w:szCs w:val="22"/>
              </w:rPr>
              <w:t>、</w:t>
            </w:r>
            <w:r>
              <w:rPr>
                <w:rFonts w:hint="eastAsia"/>
                <w:b/>
                <w:sz w:val="20"/>
                <w:szCs w:val="22"/>
              </w:rPr>
              <w:t>交通事故</w:t>
            </w:r>
            <w:r>
              <w:rPr>
                <w:rFonts w:hint="eastAsia"/>
                <w:b/>
                <w:sz w:val="20"/>
                <w:szCs w:val="22"/>
              </w:rPr>
              <w:t>；</w:t>
            </w:r>
            <w:r>
              <w:rPr>
                <w:rFonts w:hint="eastAsia"/>
                <w:b/>
                <w:sz w:val="20"/>
                <w:szCs w:val="22"/>
              </w:rPr>
              <w:t>4</w:t>
            </w:r>
            <w:r>
              <w:rPr>
                <w:rFonts w:hint="eastAsia"/>
                <w:b/>
                <w:sz w:val="20"/>
                <w:szCs w:val="22"/>
              </w:rPr>
              <w:t>、</w:t>
            </w:r>
            <w:r>
              <w:rPr>
                <w:rFonts w:hint="eastAsia"/>
                <w:b/>
                <w:sz w:val="20"/>
                <w:szCs w:val="22"/>
              </w:rPr>
              <w:t>意外伤害</w:t>
            </w:r>
            <w:r>
              <w:rPr>
                <w:rFonts w:hint="eastAsia"/>
                <w:b/>
                <w:sz w:val="20"/>
                <w:szCs w:val="22"/>
              </w:rPr>
              <w:t>。</w:t>
            </w:r>
          </w:p>
          <w:p w:rsidR="00C07A3D" w:rsidRDefault="00C176C4" w:rsidP="00686CF6">
            <w:pPr>
              <w:snapToGrid w:val="0"/>
              <w:spacing w:line="280" w:lineRule="exac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</w:rPr>
              <w:t>控</w:t>
            </w:r>
            <w:r>
              <w:rPr>
                <w:rFonts w:hint="eastAsia"/>
                <w:b/>
                <w:sz w:val="20"/>
              </w:rPr>
              <w:t xml:space="preserve">    </w:t>
            </w:r>
            <w:r>
              <w:rPr>
                <w:rFonts w:hint="eastAsia"/>
                <w:b/>
                <w:sz w:val="20"/>
              </w:rPr>
              <w:t>制</w:t>
            </w:r>
            <w:r>
              <w:rPr>
                <w:rFonts w:hint="eastAsia"/>
                <w:b/>
                <w:sz w:val="20"/>
              </w:rPr>
              <w:t xml:space="preserve">    </w:t>
            </w:r>
            <w:r>
              <w:rPr>
                <w:rFonts w:hint="eastAsia"/>
                <w:b/>
                <w:sz w:val="20"/>
              </w:rPr>
              <w:t>措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b/>
                <w:sz w:val="20"/>
              </w:rPr>
              <w:t>施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szCs w:val="22"/>
              </w:rPr>
              <w:t>1</w:t>
            </w:r>
            <w:r>
              <w:rPr>
                <w:rFonts w:hint="eastAsia"/>
                <w:b/>
                <w:sz w:val="20"/>
                <w:szCs w:val="22"/>
              </w:rPr>
              <w:t>、</w:t>
            </w:r>
            <w:r>
              <w:rPr>
                <w:rFonts w:hint="eastAsia"/>
                <w:b/>
                <w:sz w:val="20"/>
                <w:szCs w:val="22"/>
              </w:rPr>
              <w:t>a)</w:t>
            </w:r>
            <w:r>
              <w:rPr>
                <w:rFonts w:hint="eastAsia"/>
                <w:b/>
                <w:sz w:val="20"/>
                <w:szCs w:val="22"/>
              </w:rPr>
              <w:t>制定</w:t>
            </w:r>
            <w:r>
              <w:rPr>
                <w:rFonts w:hint="eastAsia"/>
                <w:b/>
                <w:sz w:val="20"/>
                <w:szCs w:val="22"/>
              </w:rPr>
              <w:t>OHS</w:t>
            </w:r>
            <w:r>
              <w:rPr>
                <w:rFonts w:hint="eastAsia"/>
                <w:b/>
                <w:sz w:val="20"/>
                <w:szCs w:val="22"/>
              </w:rPr>
              <w:t>目标</w:t>
            </w:r>
            <w:r>
              <w:rPr>
                <w:rFonts w:hint="eastAsia"/>
                <w:b/>
                <w:sz w:val="20"/>
                <w:szCs w:val="22"/>
              </w:rPr>
              <w:t>b)</w:t>
            </w:r>
            <w:r>
              <w:rPr>
                <w:rFonts w:hint="eastAsia"/>
                <w:b/>
                <w:sz w:val="20"/>
                <w:szCs w:val="22"/>
              </w:rPr>
              <w:t>制定</w:t>
            </w:r>
            <w:r>
              <w:rPr>
                <w:rFonts w:hint="eastAsia"/>
                <w:b/>
                <w:sz w:val="20"/>
                <w:szCs w:val="22"/>
              </w:rPr>
              <w:t>OHS</w:t>
            </w:r>
            <w:r>
              <w:rPr>
                <w:rFonts w:hint="eastAsia"/>
                <w:b/>
                <w:sz w:val="20"/>
                <w:szCs w:val="22"/>
              </w:rPr>
              <w:t>管理方案</w:t>
            </w:r>
            <w:r>
              <w:rPr>
                <w:rFonts w:hint="eastAsia"/>
                <w:b/>
                <w:sz w:val="20"/>
                <w:szCs w:val="22"/>
              </w:rPr>
              <w:t>c)</w:t>
            </w:r>
            <w:r>
              <w:rPr>
                <w:rFonts w:hint="eastAsia"/>
                <w:b/>
                <w:sz w:val="20"/>
                <w:szCs w:val="22"/>
              </w:rPr>
              <w:t>制定和执行</w:t>
            </w:r>
            <w:r>
              <w:rPr>
                <w:rFonts w:hint="eastAsia"/>
                <w:b/>
                <w:sz w:val="20"/>
                <w:szCs w:val="22"/>
              </w:rPr>
              <w:t>OHS</w:t>
            </w:r>
            <w:r>
              <w:rPr>
                <w:rFonts w:hint="eastAsia"/>
                <w:b/>
                <w:sz w:val="20"/>
                <w:szCs w:val="22"/>
              </w:rPr>
              <w:t>运行程序或作业文件</w:t>
            </w:r>
            <w:r>
              <w:rPr>
                <w:rFonts w:hint="eastAsia"/>
                <w:b/>
                <w:sz w:val="20"/>
                <w:szCs w:val="22"/>
              </w:rPr>
              <w:t xml:space="preserve">d) </w:t>
            </w:r>
            <w:r>
              <w:rPr>
                <w:rFonts w:hint="eastAsia"/>
                <w:b/>
                <w:sz w:val="20"/>
                <w:szCs w:val="22"/>
              </w:rPr>
              <w:t>定期</w:t>
            </w:r>
            <w:r>
              <w:rPr>
                <w:rFonts w:hint="eastAsia"/>
                <w:b/>
                <w:sz w:val="20"/>
                <w:szCs w:val="22"/>
              </w:rPr>
              <w:t>/</w:t>
            </w:r>
            <w:r>
              <w:rPr>
                <w:rFonts w:hint="eastAsia"/>
                <w:b/>
                <w:sz w:val="20"/>
                <w:szCs w:val="22"/>
              </w:rPr>
              <w:t>不定期进行安全检查</w:t>
            </w:r>
            <w:r>
              <w:rPr>
                <w:rFonts w:hint="eastAsia"/>
                <w:b/>
                <w:sz w:val="20"/>
                <w:szCs w:val="22"/>
              </w:rPr>
              <w:t xml:space="preserve">e) </w:t>
            </w:r>
            <w:r>
              <w:rPr>
                <w:rFonts w:hint="eastAsia"/>
                <w:b/>
                <w:sz w:val="20"/>
                <w:szCs w:val="22"/>
              </w:rPr>
              <w:t>制定应急预案，配备应急设施</w:t>
            </w:r>
            <w:r>
              <w:rPr>
                <w:rFonts w:hint="eastAsia"/>
                <w:b/>
                <w:sz w:val="20"/>
                <w:szCs w:val="22"/>
              </w:rPr>
              <w:t>；</w:t>
            </w:r>
          </w:p>
        </w:tc>
      </w:tr>
      <w:tr w:rsidR="00C07A3D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07A3D" w:rsidRDefault="00C176C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C07A3D" w:rsidRDefault="00C176C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《工程地质勘察规范》</w:t>
            </w:r>
            <w:r>
              <w:rPr>
                <w:rFonts w:hint="eastAsia"/>
                <w:b/>
                <w:sz w:val="20"/>
              </w:rPr>
              <w:t>DBJ50-0430-2016</w:t>
            </w:r>
            <w:r>
              <w:rPr>
                <w:rFonts w:hint="eastAsia"/>
                <w:b/>
                <w:sz w:val="20"/>
              </w:rPr>
              <w:t>、《岩土工程勘察规范》</w:t>
            </w:r>
            <w:r>
              <w:rPr>
                <w:rFonts w:hint="eastAsia"/>
                <w:b/>
                <w:sz w:val="20"/>
              </w:rPr>
              <w:t>GB50021-2009</w:t>
            </w:r>
            <w:r>
              <w:rPr>
                <w:rFonts w:hint="eastAsia"/>
                <w:b/>
                <w:sz w:val="20"/>
              </w:rPr>
              <w:t>、《建筑工程地质勘</w:t>
            </w:r>
            <w:r>
              <w:rPr>
                <w:rFonts w:hint="eastAsia"/>
                <w:b/>
                <w:sz w:val="20"/>
              </w:rPr>
              <w:t>察与取样技术规程》</w:t>
            </w:r>
            <w:r>
              <w:rPr>
                <w:rFonts w:hint="eastAsia"/>
                <w:b/>
                <w:sz w:val="20"/>
              </w:rPr>
              <w:t>JGJ/T87-2012</w:t>
            </w:r>
            <w:r>
              <w:rPr>
                <w:rFonts w:hint="eastAsia"/>
                <w:b/>
                <w:sz w:val="20"/>
              </w:rPr>
              <w:t>、《测绘成果质量检查与验收》</w:t>
            </w:r>
            <w:r>
              <w:rPr>
                <w:rFonts w:hint="eastAsia"/>
                <w:b/>
                <w:sz w:val="20"/>
              </w:rPr>
              <w:t>GB/T24356-2009</w:t>
            </w:r>
            <w:r>
              <w:rPr>
                <w:rFonts w:hint="eastAsia"/>
                <w:b/>
                <w:sz w:val="20"/>
              </w:rPr>
              <w:t>、《建设项目用地勘测定界技术规程》、《固体矿产地质勘查规范总则》</w:t>
            </w:r>
            <w:r>
              <w:rPr>
                <w:rFonts w:hint="eastAsia"/>
                <w:b/>
                <w:sz w:val="20"/>
              </w:rPr>
              <w:t>GB/T13908-2002</w:t>
            </w:r>
            <w:r>
              <w:rPr>
                <w:rFonts w:hint="eastAsia"/>
                <w:b/>
                <w:sz w:val="20"/>
              </w:rPr>
              <w:t>、《工程测量规范》</w:t>
            </w:r>
            <w:r>
              <w:rPr>
                <w:rFonts w:hint="eastAsia"/>
                <w:b/>
                <w:sz w:val="20"/>
              </w:rPr>
              <w:t>GB50026-2007</w:t>
            </w:r>
            <w:r>
              <w:rPr>
                <w:rFonts w:hint="eastAsia"/>
                <w:b/>
                <w:sz w:val="20"/>
              </w:rPr>
              <w:t>、《固体矿产资源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储量分类》</w:t>
            </w:r>
            <w:r>
              <w:rPr>
                <w:rFonts w:hint="eastAsia"/>
                <w:b/>
                <w:sz w:val="20"/>
              </w:rPr>
              <w:t>GB/T17766-1999</w:t>
            </w:r>
          </w:p>
        </w:tc>
      </w:tr>
      <w:tr w:rsidR="00C07A3D" w:rsidTr="00686CF6">
        <w:trPr>
          <w:cantSplit/>
          <w:trHeight w:val="45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07A3D" w:rsidRDefault="00C176C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C07A3D" w:rsidRDefault="00C176C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检测项目按规程执行</w:t>
            </w:r>
          </w:p>
        </w:tc>
      </w:tr>
      <w:tr w:rsidR="00C07A3D" w:rsidTr="00686CF6">
        <w:trPr>
          <w:cantSplit/>
          <w:trHeight w:val="5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C07A3D" w:rsidRDefault="00C176C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C07A3D" w:rsidRDefault="00686CF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bookmarkEnd w:id="6"/>
    </w:tbl>
    <w:p w:rsidR="00C07A3D" w:rsidRDefault="00C07A3D">
      <w:pPr>
        <w:snapToGrid w:val="0"/>
        <w:rPr>
          <w:rFonts w:ascii="宋体"/>
          <w:b/>
          <w:sz w:val="22"/>
          <w:szCs w:val="22"/>
        </w:rPr>
      </w:pPr>
    </w:p>
    <w:p w:rsidR="00C07A3D" w:rsidRDefault="00C176C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1"/>
          <w:szCs w:val="21"/>
        </w:rPr>
        <w:t>2020</w:t>
      </w:r>
      <w:r>
        <w:rPr>
          <w:rFonts w:hint="eastAsia"/>
          <w:b/>
          <w:sz w:val="21"/>
          <w:szCs w:val="21"/>
        </w:rPr>
        <w:t>年</w:t>
      </w:r>
      <w:r>
        <w:rPr>
          <w:rFonts w:hint="eastAsia"/>
          <w:b/>
          <w:sz w:val="21"/>
          <w:szCs w:val="21"/>
        </w:rPr>
        <w:t>10</w:t>
      </w:r>
      <w:r>
        <w:rPr>
          <w:rFonts w:hint="eastAsia"/>
          <w:b/>
          <w:sz w:val="21"/>
          <w:szCs w:val="21"/>
        </w:rPr>
        <w:t>月</w:t>
      </w:r>
      <w:r>
        <w:rPr>
          <w:rFonts w:hint="eastAsia"/>
          <w:b/>
          <w:sz w:val="21"/>
          <w:szCs w:val="21"/>
        </w:rPr>
        <w:t>05</w:t>
      </w:r>
      <w:r>
        <w:rPr>
          <w:rFonts w:hint="eastAsia"/>
          <w:b/>
          <w:sz w:val="21"/>
          <w:szCs w:val="21"/>
        </w:rPr>
        <w:t>日</w:t>
      </w:r>
      <w:r>
        <w:rPr>
          <w:rFonts w:hint="eastAsia"/>
          <w:b/>
          <w:sz w:val="18"/>
          <w:szCs w:val="18"/>
        </w:rPr>
        <w:t xml:space="preserve">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pacing w:val="-6"/>
          <w:sz w:val="21"/>
          <w:szCs w:val="21"/>
        </w:rPr>
        <w:t>文</w:t>
      </w:r>
      <w:r>
        <w:rPr>
          <w:rFonts w:ascii="宋体" w:hint="eastAsia"/>
          <w:b/>
          <w:spacing w:val="-6"/>
          <w:sz w:val="21"/>
          <w:szCs w:val="21"/>
        </w:rPr>
        <w:t xml:space="preserve">  </w:t>
      </w:r>
      <w:r>
        <w:rPr>
          <w:rFonts w:ascii="宋体" w:hint="eastAsia"/>
          <w:b/>
          <w:spacing w:val="-6"/>
          <w:sz w:val="21"/>
          <w:szCs w:val="21"/>
        </w:rPr>
        <w:t>平</w:t>
      </w:r>
      <w:r>
        <w:rPr>
          <w:rFonts w:ascii="宋体" w:hint="eastAsia"/>
          <w:b/>
          <w:spacing w:val="-6"/>
          <w:sz w:val="21"/>
          <w:szCs w:val="21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1"/>
          <w:szCs w:val="21"/>
        </w:rPr>
        <w:t>2020</w:t>
      </w:r>
      <w:r>
        <w:rPr>
          <w:rFonts w:hint="eastAsia"/>
          <w:b/>
          <w:sz w:val="21"/>
          <w:szCs w:val="21"/>
        </w:rPr>
        <w:t>年</w:t>
      </w:r>
      <w:r>
        <w:rPr>
          <w:rFonts w:hint="eastAsia"/>
          <w:b/>
          <w:sz w:val="21"/>
          <w:szCs w:val="21"/>
        </w:rPr>
        <w:t>10</w:t>
      </w:r>
      <w:r>
        <w:rPr>
          <w:rFonts w:hint="eastAsia"/>
          <w:b/>
          <w:sz w:val="21"/>
          <w:szCs w:val="21"/>
        </w:rPr>
        <w:t>月</w:t>
      </w:r>
      <w:r>
        <w:rPr>
          <w:rFonts w:hint="eastAsia"/>
          <w:b/>
          <w:sz w:val="21"/>
          <w:szCs w:val="21"/>
        </w:rPr>
        <w:t>05</w:t>
      </w:r>
      <w:r>
        <w:rPr>
          <w:rFonts w:hint="eastAsia"/>
          <w:b/>
          <w:sz w:val="21"/>
          <w:szCs w:val="21"/>
        </w:rPr>
        <w:t>日</w:t>
      </w:r>
    </w:p>
    <w:p w:rsidR="00C07A3D" w:rsidRDefault="00C07A3D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C07A3D" w:rsidRDefault="00C176C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C07A3D" w:rsidSect="00C07A3D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6C4" w:rsidRDefault="00C176C4" w:rsidP="00C07A3D">
      <w:r>
        <w:separator/>
      </w:r>
    </w:p>
  </w:endnote>
  <w:endnote w:type="continuationSeparator" w:id="0">
    <w:p w:rsidR="00C176C4" w:rsidRDefault="00C176C4" w:rsidP="00C07A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6C4" w:rsidRDefault="00C176C4" w:rsidP="00C07A3D">
      <w:r>
        <w:separator/>
      </w:r>
    </w:p>
  </w:footnote>
  <w:footnote w:type="continuationSeparator" w:id="0">
    <w:p w:rsidR="00C176C4" w:rsidRDefault="00C176C4" w:rsidP="00C07A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A3D" w:rsidRDefault="00C07A3D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C07A3D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4097" type="#_x0000_t75" style="position:absolute;left:0;text-align:left;margin-left:-.05pt;margin-top:.35pt;width:32.3pt;height:34.1pt;z-index:-251659264" wrapcoords="21592 -2 0 0 0 21600 21592 21602 8 21602 21600 21600 21600 0 8 -2 21592 -2">
          <v:imagedata r:id="rId1" o:title=""/>
          <w10:wrap type="tight"/>
        </v:shape>
      </w:pict>
    </w:r>
    <w:r w:rsidR="00C176C4">
      <w:rPr>
        <w:rStyle w:val="CharChar1"/>
        <w:rFonts w:hint="default"/>
      </w:rPr>
      <w:t>北京国标联合认证有限公司</w:t>
    </w:r>
    <w:r w:rsidR="00C176C4">
      <w:rPr>
        <w:rStyle w:val="CharChar1"/>
        <w:rFonts w:hint="default"/>
      </w:rPr>
      <w:tab/>
    </w:r>
    <w:r w:rsidR="00C176C4">
      <w:rPr>
        <w:rStyle w:val="CharChar1"/>
        <w:rFonts w:hint="default"/>
      </w:rPr>
      <w:tab/>
    </w:r>
    <w:r w:rsidR="00C176C4">
      <w:rPr>
        <w:rStyle w:val="CharChar1"/>
        <w:rFonts w:hint="default"/>
      </w:rPr>
      <w:tab/>
    </w:r>
  </w:p>
  <w:p w:rsidR="00C07A3D" w:rsidRDefault="00C07A3D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8" type="#_x0000_t202" style="position:absolute;left:0;text-align:left;margin-left:325.25pt;margin-top:2.2pt;width:159.25pt;height:20.2pt;z-index:251658240" stroked="f">
          <v:textbox>
            <w:txbxContent>
              <w:p w:rsidR="00C07A3D" w:rsidRDefault="00C176C4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176C4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C176C4">
      <w:rPr>
        <w:rStyle w:val="CharChar1"/>
        <w:rFonts w:hint="default"/>
        <w:w w:val="90"/>
      </w:rPr>
      <w:t>Co.,Ltd</w:t>
    </w:r>
    <w:proofErr w:type="spellEnd"/>
    <w:r w:rsidR="00C176C4">
      <w:rPr>
        <w:rStyle w:val="CharChar1"/>
        <w:rFonts w:hint="default"/>
        <w:w w:val="90"/>
      </w:rPr>
      <w:t>.</w:t>
    </w:r>
  </w:p>
  <w:p w:rsidR="00C07A3D" w:rsidRDefault="00C07A3D">
    <w:pPr>
      <w:pStyle w:val="a5"/>
    </w:pPr>
  </w:p>
  <w:p w:rsidR="00C07A3D" w:rsidRDefault="00C07A3D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7A3D"/>
    <w:rsid w:val="00686CF6"/>
    <w:rsid w:val="00C07A3D"/>
    <w:rsid w:val="00C176C4"/>
    <w:rsid w:val="0434764E"/>
    <w:rsid w:val="1BE965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A3D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07A3D"/>
    <w:rPr>
      <w:sz w:val="18"/>
      <w:szCs w:val="18"/>
    </w:rPr>
  </w:style>
  <w:style w:type="paragraph" w:styleId="a4">
    <w:name w:val="footer"/>
    <w:basedOn w:val="a"/>
    <w:link w:val="Char0"/>
    <w:uiPriority w:val="99"/>
    <w:rsid w:val="00C07A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C07A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C07A3D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locked/>
    <w:rsid w:val="00C07A3D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rsid w:val="00C07A3D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C07A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859</Characters>
  <Application>Microsoft Office Word</Application>
  <DocSecurity>0</DocSecurity>
  <Lines>7</Lines>
  <Paragraphs>2</Paragraphs>
  <ScaleCrop>false</ScaleCrop>
  <Company>微软中国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21</cp:revision>
  <dcterms:created xsi:type="dcterms:W3CDTF">2015-06-17T11:40:00Z</dcterms:created>
  <dcterms:modified xsi:type="dcterms:W3CDTF">2020-10-10T05:59:00Z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