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58"/>
        <w:gridCol w:w="284"/>
        <w:gridCol w:w="438"/>
        <w:gridCol w:w="730"/>
        <w:gridCol w:w="391"/>
        <w:gridCol w:w="1158"/>
        <w:gridCol w:w="1535"/>
        <w:gridCol w:w="567"/>
        <w:gridCol w:w="1279"/>
        <w:gridCol w:w="139"/>
        <w:gridCol w:w="345"/>
        <w:gridCol w:w="80"/>
        <w:gridCol w:w="876"/>
        <w:gridCol w:w="1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黑龙江省万意达石油工程有限公司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71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0529-2020-QJEO</w:t>
            </w:r>
            <w:bookmarkEnd w:id="1"/>
          </w:p>
        </w:tc>
        <w:tc>
          <w:tcPr>
            <w:tcW w:w="153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1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李永双</w:t>
            </w:r>
            <w:bookmarkEnd w:id="5"/>
          </w:p>
        </w:tc>
        <w:tc>
          <w:tcPr>
            <w:tcW w:w="153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0459-8883228</w:t>
            </w:r>
            <w:bookmarkEnd w:id="6"/>
          </w:p>
        </w:tc>
        <w:tc>
          <w:tcPr>
            <w:tcW w:w="564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71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最高管理者"/>
            <w:bookmarkEnd w:id="8"/>
          </w:p>
        </w:tc>
        <w:tc>
          <w:tcPr>
            <w:tcW w:w="153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564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7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sz w:val="21"/>
                <w:szCs w:val="21"/>
              </w:rPr>
              <w:t>：A2级压力容器、环保专用设备、石油钻采机械部件的生产、销售；钻井泥浆无害化处理设备、水处理（清水、软化水、污水、含油污水）设备、全自动软化水装置、稀油站、滤油机、油田专用设备、过滤器、电磁加热设备和电磁加热三项分离装置、太阳能用具的设计、制造、销售；金属软管的销售；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油田技术服务；钻井泥浆（水基泥浆、油基泥浆、盐水泥浆）不落地无害化处理技术服务；固体废物处理（油固分离）；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GC1级工业管道安装, GB1、GB2级公用管道安装；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EC </w:t>
            </w:r>
            <w:r>
              <w:rPr>
                <w:sz w:val="21"/>
                <w:szCs w:val="21"/>
              </w:rPr>
              <w:t>：资质范围内的建筑工程施工总承包三级；机电工程施工总承包三级；石油化工工程施工总承包三级；建筑机电安装工程专业承包三级；环保工程专业承包三级；防水防腐保温工程专业承包二级；消防设施专业承包二级；特种工程（特殊设备起重吊装）；园林绿化工程施工。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A2级压力容器、环保专用设备、石油钻采机械部件的生产、销售；钻井泥浆无害化处理设备、水处理（清水、软化水、污水、含油污水）设备、全自动软化水装置、稀油站、滤油机、油田专用设备、过滤器、电磁加热设备和电磁加热三项分离装置、太阳能用具的设计、制造、销售；金属软管的销售；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油田技术服务；钻井泥浆（水基泥浆、油基泥浆、盐水泥浆）不落地无害化处理技术服务；固体废物处理（油固分离）；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GC1级工业管道安装, GB1、GB2级公用管道安装及相关环境管理活动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范围内的建筑工程施工总承包三级；机电工程施工总承包三级；石油化工工程施工总承包三级；建筑机电安装工程专业承包三级；环保工程专业承包三级；防水防腐保温工程专业承包二级；消防设施专业承包二级；特种工程（特殊设备起重吊装）；园林绿化工程施工及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A2级压力容器、环保专用设备、石油钻采机械部件的生产、销售；钻井泥浆无害化处理设备、水处理（清水、软化水、污水、含油污水）设备、全自动软化水装置、稀油站、滤油机、油田专用设备、过滤器、电磁加热设备和电磁加热三项分离装置、太阳能用具的设计、制造、销售；金属软管的销售；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油田技术服务；钻井泥浆（水基泥浆、油基泥浆、盐水泥浆）不落地无害化处理技术服务；固体废物处理（油固分离）；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GC1级工业管道安装, GB1、GB2级公用管道安装及相关职业健康安全管理活动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范围内的建筑工程施工总承包三级；机电工程施工总承包三级；石油化工工程施工总承包三级；建筑机电安装工程专业承包三级；环保工程专业承包三级；防水防腐保温工程专业承包二级；消防设施专业承包二级；特种工程（特殊设备起重吊装）；园林绿化工程施工及相关职业健康安全管理活动</w:t>
            </w:r>
            <w:bookmarkEnd w:id="10"/>
          </w:p>
        </w:tc>
        <w:tc>
          <w:tcPr>
            <w:tcW w:w="34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215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EC：02.09.00;17.07.02;18.02.06;18.05.02;18.05.07;19.14.00;28.02.00;28.05.02;28.07.01;28.07.02;28.07.03;28.09.02;29.12.00;34.06.00;35.17.00;39.03.01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E：02.09.00;17.07.02;18.02.06;18.05.02;18.05.07;19.14.00;28.02.00;28.05.02;28.07.01;28.07.02;28.07.03;28.09.02;29.12.00;34.06.00;35.17.00;39.03.01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O：02.09.00;17.07.02;18.02.06;18.05.02;18.05.07;19.14.00;28.02.00;28.05.02;28.07.01;28.07.02;28.07.03;28.09.02;29.12.00;34.06.00;35.17.00;39.03.01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EC：GB/T19001-2016 idt ISO9001:2015和GB/T50430-2017,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2020年10月07日 上午至2020年10月09日 上午 (共2.5天)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8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  <w:p>
            <w:pPr>
              <w:ind w:firstLine="210" w:firstLineChars="100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EC:17.07.02,18.05.02,18.05.07,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19.14.00,28.07.01,28.07.02,28.07.03,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29.12.00,34.06.00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E:17.07.02,18.05.02,18.05.07,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19.14.00,28.07.01,28.07.02,28.07.03,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28.09.02,29.12.00,34.06.00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O:17.07.02,18.05.02,18.05.07,19.14.00,28.07.01,28.07.02,28.07.03,29.12.00,34.06.00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15389253253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8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sz w:val="21"/>
                <w:szCs w:val="21"/>
              </w:rPr>
              <w:t>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sz w:val="21"/>
                <w:szCs w:val="21"/>
              </w:rPr>
              <w:t>:18.02.06,18.05.07,28.07.01,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28.07.02,28.07.03,29.12.00,34.06.00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E:18.02.06,18.05.07,28.07.01,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28.07.02,28.07.03,28.09.02,29.12.00,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34.06.00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O:18.02.06,18.05.07,28.07.01,28.07.02,28.07.03,29.12.00,34.06.00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8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sz w:val="21"/>
                <w:szCs w:val="21"/>
              </w:rPr>
              <w:t>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bookmarkStart w:id="14" w:name="_GoBack"/>
            <w:r>
              <w:rPr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-1847850</wp:posOffset>
                  </wp:positionH>
                  <wp:positionV relativeFrom="paragraph">
                    <wp:posOffset>-894080</wp:posOffset>
                  </wp:positionV>
                  <wp:extent cx="6942455" cy="9780905"/>
                  <wp:effectExtent l="0" t="0" r="4445" b="10795"/>
                  <wp:wrapNone/>
                  <wp:docPr id="3" name="图片 3" descr="扫描全能王 2020-10-17 10.47.12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扫描全能王 2020-10-17 10.47.12_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2455" cy="9780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4"/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EC:18.05.02,18.05.07,19.14.00,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薛永宏</w:t>
            </w:r>
          </w:p>
        </w:tc>
        <w:tc>
          <w:tcPr>
            <w:tcW w:w="8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1" w:type="dxa"/>
            <w:gridSpan w:val="3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EC:02.09.00,28.05.02,28.09.02,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35.17.00,39.03.01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E:02.09.00,28.05.02,28.09.02,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35.17.00,39.03.01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O:02.09.00,28.05.02,28.09.02,35.17.00,39.03.01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15804590209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8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EC:17.07.02,28.02.00,28.07.01,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28.07.02,28.07.03,28.09.02,29.12.00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E:17.07.02,18.05.07,28.02.00,28.07.01,28.07.02,28.07.03,28.09.02,29.12.00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O:17.07.02,18.05.07,28.02.00,28.07.01,28.07.02,28.07.03,28.09.02,29.12.00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4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38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26670</wp:posOffset>
                  </wp:positionV>
                  <wp:extent cx="340360" cy="269240"/>
                  <wp:effectExtent l="0" t="0" r="2540" b="1016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02" w:type="dxa"/>
            <w:gridSpan w:val="2"/>
            <w:vMerge w:val="restart"/>
            <w:vAlign w:val="center"/>
          </w:tcPr>
          <w:p>
            <w:pPr>
              <w:ind w:firstLine="210" w:firstLineChars="1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13709207775</w:t>
            </w:r>
          </w:p>
        </w:tc>
        <w:tc>
          <w:tcPr>
            <w:tcW w:w="1158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02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2020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.5</w:t>
            </w:r>
          </w:p>
        </w:tc>
        <w:tc>
          <w:tcPr>
            <w:tcW w:w="1158" w:type="dxa"/>
            <w:vAlign w:val="center"/>
          </w:tcPr>
          <w:p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02" w:type="dxa"/>
            <w:gridSpan w:val="2"/>
            <w:vAlign w:val="center"/>
          </w:tcPr>
          <w:p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.5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60" w:lineRule="auto"/>
        <w:ind w:firstLine="3520" w:firstLineChars="11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9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683"/>
        <w:gridCol w:w="6551"/>
        <w:gridCol w:w="1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972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1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68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51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2020.10.7</w:t>
            </w:r>
          </w:p>
        </w:tc>
        <w:tc>
          <w:tcPr>
            <w:tcW w:w="1683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8：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  <w:szCs w:val="22"/>
              </w:rPr>
              <w:t>0-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  <w:szCs w:val="22"/>
              </w:rPr>
              <w:t>：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  <w:szCs w:val="22"/>
              </w:rPr>
              <w:t>0</w:t>
            </w:r>
          </w:p>
        </w:tc>
        <w:tc>
          <w:tcPr>
            <w:tcW w:w="6551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1476" w:firstLineChars="700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83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  <w:szCs w:val="22"/>
              </w:rPr>
              <w:t>:00-12.00</w:t>
            </w:r>
          </w:p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0"/>
                <w:szCs w:val="22"/>
              </w:rPr>
            </w:pPr>
          </w:p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12:00-13.00午餐</w:t>
            </w:r>
          </w:p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0"/>
                <w:szCs w:val="22"/>
              </w:rPr>
            </w:pPr>
          </w:p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13:00-1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:00</w:t>
            </w:r>
          </w:p>
        </w:tc>
        <w:tc>
          <w:tcPr>
            <w:tcW w:w="6551" w:type="dxa"/>
            <w:vAlign w:val="center"/>
          </w:tcPr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现场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巡视经营地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：重点是与质量、环境、职业健康安全活动有关的场所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配电室及公司周边环境进行观察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spacing w:line="240" w:lineRule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项目地：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葡萄花油田黑帝庙油层葡浅16井区产能建设工程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大庆市众合金属制品有限责任公司能源开发利用项目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地。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2020.10.8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2020.10.9</w:t>
            </w:r>
          </w:p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83" w:type="dxa"/>
            <w:vMerge w:val="restart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b/>
                <w:sz w:val="20"/>
              </w:rPr>
              <w:t>0-12.00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12:00-13.00</w:t>
            </w:r>
            <w:r>
              <w:rPr>
                <w:rFonts w:hint="eastAsia"/>
                <w:b/>
                <w:sz w:val="20"/>
              </w:rPr>
              <w:t>午餐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13:00-1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b/>
                <w:sz w:val="20"/>
              </w:rPr>
              <w:t>:00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b/>
                <w:sz w:val="20"/>
              </w:rPr>
              <w:t>0-12.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b/>
                <w:sz w:val="20"/>
              </w:rPr>
              <w:t>0</w:t>
            </w:r>
          </w:p>
          <w:p>
            <w:pPr>
              <w:spacing w:line="240" w:lineRule="auto"/>
              <w:jc w:val="both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</w:p>
          <w:p>
            <w:pPr>
              <w:spacing w:line="24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51" w:type="dxa"/>
            <w:vAlign w:val="center"/>
          </w:tcPr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核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管理层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、综合部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CED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、生产部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(AC)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、技术部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(AC)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、经营部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(A)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、质安环部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(E)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、工程管理部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(ED)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：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了解受审核方基本概况，资质、法人、总经理及部门设置、主管部门。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了解受审核方管理体系策划情况。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确定认证范围和经营场所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了解受审核方文件、外来文件和环境、职业健康安全适用法律法规及其他要求控制情况；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了解受审核方是否策划和实施了内部审核；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了解管理评审控制情况；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了解财务资金投入情况等。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了解审核方对产品实现过程的策划、实施和监视测量情况，工程施工中的关键过程和需确认过程的识别和控制状况；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识别过程所形成的文件和记录的适宜性和充分性；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监视与测量资源和工作环境对产品质量的保障情况: 监视与测量资源日常管控受控情况等。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了解受审核方采购、销售的实施控制情况；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了解受审核方生产过程、销售过程、采购过程、办公过程环境因素和危险源识别、重要环境因素和重大危险源控制措施策划，合规性评价；环境、职业健康安全管理体系运作的情况；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必要时检查环境评价、安全评价、消防验收等情况.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商定第二阶段审核的时间、细节等受审核方是否策划和实施了管理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16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5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ABCDE</w:t>
            </w: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E345D0"/>
    <w:rsid w:val="27956D6D"/>
    <w:rsid w:val="2C5A4009"/>
    <w:rsid w:val="32C97962"/>
    <w:rsid w:val="36D41FFA"/>
    <w:rsid w:val="3E8C0C53"/>
    <w:rsid w:val="44BD1A71"/>
    <w:rsid w:val="5D6C4CD5"/>
    <w:rsid w:val="61A01FAA"/>
    <w:rsid w:val="63965E1E"/>
    <w:rsid w:val="6952069F"/>
    <w:rsid w:val="6BD42A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6</TotalTime>
  <ScaleCrop>false</ScaleCrop>
  <LinksUpToDate>false</LinksUpToDate>
  <CharactersWithSpaces>1267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LIL</cp:lastModifiedBy>
  <cp:lastPrinted>2019-03-27T03:10:00Z</cp:lastPrinted>
  <dcterms:modified xsi:type="dcterms:W3CDTF">2020-10-17T22:33:40Z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