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河北报业传媒集团印务有限公司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09.01.01;09.01.02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薛江龙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接收—拼版—制版—上机印刷—印后加工（剪切、折页、装订）—成品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火灾、触电、噪声伤害、机械伤害、废气伤害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安全生产法、消防法、劳动法、工作场所有害因素职业接触</w:t>
            </w:r>
            <w:bookmarkStart w:id="5" w:name="_GoBack"/>
            <w:bookmarkEnd w:id="5"/>
            <w:r>
              <w:rPr>
                <w:rFonts w:hint="eastAsia"/>
                <w:b/>
                <w:sz w:val="20"/>
                <w:lang w:val="en-US" w:eastAsia="zh-CN"/>
              </w:rPr>
              <w:t>限值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薛江龙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14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2020-11-24T02:25:38Z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