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rFonts w:hint="eastAsia" w:eastAsia="楷体"/>
          <w:color w:val="000000"/>
          <w:sz w:val="24"/>
          <w:szCs w:val="24"/>
          <w:lang w:eastAsia="zh-CN"/>
        </w:rPr>
      </w:pPr>
      <w:r>
        <w:rPr>
          <w:rFonts w:hint="eastAsia" w:ascii="楷体" w:hAnsi="楷体" w:eastAsia="楷体"/>
          <w:color w:val="000000"/>
          <w:sz w:val="24"/>
          <w:szCs w:val="24"/>
        </w:rPr>
        <w:t>合同编号：</w:t>
      </w:r>
      <w:r>
        <w:rPr>
          <w:rFonts w:hint="eastAsia" w:eastAsia="楷体"/>
          <w:color w:val="000000"/>
          <w:sz w:val="24"/>
          <w:szCs w:val="24"/>
          <w:lang w:eastAsia="zh-CN"/>
        </w:rPr>
        <w:t>0519-2020-QEO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任丘市雨神防水材料集团有限公司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14.02.03</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14.02.03</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14.02.03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李凤仪</w:t>
            </w:r>
          </w:p>
        </w:tc>
        <w:tc>
          <w:tcPr>
            <w:tcW w:w="851" w:type="dxa"/>
            <w:gridSpan w:val="2"/>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组员</w:t>
            </w:r>
          </w:p>
        </w:tc>
        <w:tc>
          <w:tcPr>
            <w:tcW w:w="1417" w:type="dxa"/>
            <w:gridSpan w:val="2"/>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男</w:t>
            </w:r>
          </w:p>
        </w:tc>
        <w:tc>
          <w:tcPr>
            <w:tcW w:w="3402" w:type="dxa"/>
            <w:gridSpan w:val="5"/>
            <w:vAlign w:val="top"/>
          </w:tcPr>
          <w:p>
            <w:pPr>
              <w:spacing w:line="240" w:lineRule="exact"/>
              <w:jc w:val="center"/>
              <w:rPr>
                <w:sz w:val="21"/>
                <w:szCs w:val="21"/>
              </w:rPr>
            </w:pPr>
            <w:r>
              <w:rPr>
                <w:sz w:val="21"/>
                <w:szCs w:val="21"/>
              </w:rPr>
              <w:t>E:审核员</w:t>
            </w:r>
          </w:p>
          <w:p>
            <w:pPr>
              <w:spacing w:line="240" w:lineRule="exact"/>
              <w:jc w:val="center"/>
              <w:rPr>
                <w:sz w:val="21"/>
                <w:szCs w:val="21"/>
              </w:rPr>
            </w:pPr>
            <w:r>
              <w:rPr>
                <w:sz w:val="21"/>
                <w:szCs w:val="21"/>
              </w:rPr>
              <w:t>O:审核员</w:t>
            </w:r>
          </w:p>
          <w:p>
            <w:pPr>
              <w:spacing w:line="240" w:lineRule="exact"/>
              <w:jc w:val="center"/>
              <w:rPr>
                <w:rFonts w:ascii="Times New Roman" w:hAnsi="Times New Roman" w:eastAsia="宋体" w:cs="Times New Roman"/>
                <w:kern w:val="2"/>
                <w:sz w:val="21"/>
                <w:szCs w:val="21"/>
                <w:lang w:val="en-US" w:eastAsia="zh-CN" w:bidi="ar-SA"/>
              </w:rPr>
            </w:pPr>
            <w:r>
              <w:rPr>
                <w:sz w:val="21"/>
                <w:szCs w:val="21"/>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任丘市雨神防水材料集团有限公司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河北省任丘市北辛庄乡苑临河村</w:t>
            </w:r>
          </w:p>
        </w:tc>
        <w:tc>
          <w:tcPr>
            <w:tcW w:w="78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13" w:type="dxa"/>
          </w:tcPr>
          <w:p>
            <w:pPr>
              <w:spacing w:line="280" w:lineRule="exact"/>
              <w:rPr>
                <w:rFonts w:hint="default" w:ascii="宋体" w:eastAsia="宋体"/>
                <w:b/>
                <w:color w:val="000000"/>
                <w:sz w:val="20"/>
                <w:szCs w:val="20"/>
                <w:lang w:val="en-US" w:eastAsia="zh-CN"/>
              </w:rPr>
            </w:pPr>
            <w:bookmarkStart w:id="4" w:name="注册邮编"/>
            <w:r>
              <w:rPr>
                <w:rFonts w:ascii="宋体"/>
                <w:b/>
                <w:color w:val="000000"/>
                <w:sz w:val="20"/>
                <w:szCs w:val="20"/>
              </w:rPr>
              <w:t>0</w:t>
            </w:r>
            <w:bookmarkEnd w:id="4"/>
            <w:r>
              <w:rPr>
                <w:rFonts w:hint="eastAsia" w:ascii="宋体"/>
                <w:b/>
                <w:color w:val="000000"/>
                <w:sz w:val="20"/>
                <w:szCs w:val="20"/>
                <w:lang w:val="en-US" w:eastAsia="zh-CN"/>
              </w:rPr>
              <w:t>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河北省任丘市北辛庄乡苑临河村</w:t>
            </w:r>
          </w:p>
        </w:tc>
        <w:tc>
          <w:tcPr>
            <w:tcW w:w="787" w:type="dxa"/>
            <w:vMerge w:val="continue"/>
            <w:vAlign w:val="center"/>
          </w:tcPr>
          <w:p>
            <w:pPr>
              <w:spacing w:line="280" w:lineRule="exact"/>
              <w:jc w:val="center"/>
              <w:rPr>
                <w:rFonts w:ascii="宋体"/>
                <w:b/>
                <w:color w:val="000000"/>
                <w:sz w:val="20"/>
                <w:szCs w:val="20"/>
              </w:rPr>
            </w:pPr>
          </w:p>
        </w:tc>
        <w:tc>
          <w:tcPr>
            <w:tcW w:w="2013" w:type="dxa"/>
          </w:tcPr>
          <w:p>
            <w:pPr>
              <w:spacing w:line="280" w:lineRule="exact"/>
              <w:rPr>
                <w:rFonts w:ascii="宋体"/>
                <w:b/>
                <w:color w:val="000000"/>
                <w:sz w:val="20"/>
                <w:szCs w:val="20"/>
              </w:rPr>
            </w:pPr>
            <w:r>
              <w:rPr>
                <w:rFonts w:ascii="宋体"/>
                <w:b/>
                <w:color w:val="000000"/>
                <w:sz w:val="20"/>
                <w:szCs w:val="20"/>
              </w:rPr>
              <w:t>0</w:t>
            </w:r>
            <w:r>
              <w:rPr>
                <w:rFonts w:hint="eastAsia" w:ascii="宋体"/>
                <w:b/>
                <w:color w:val="000000"/>
                <w:sz w:val="20"/>
                <w:szCs w:val="20"/>
                <w:lang w:val="en-US" w:eastAsia="zh-CN"/>
              </w:rPr>
              <w:t>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肖立艳</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5" w:name="联系人手机"/>
            <w:r>
              <w:rPr>
                <w:sz w:val="21"/>
                <w:szCs w:val="21"/>
              </w:rPr>
              <w:t>15383877888</w:t>
            </w:r>
            <w:bookmarkEnd w:id="5"/>
          </w:p>
        </w:tc>
        <w:tc>
          <w:tcPr>
            <w:tcW w:w="78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13" w:type="dxa"/>
          </w:tcPr>
          <w:p>
            <w:pPr>
              <w:spacing w:line="280" w:lineRule="exact"/>
              <w:rPr>
                <w:rFonts w:ascii="宋体"/>
                <w:b/>
                <w:color w:val="000000"/>
                <w:sz w:val="20"/>
                <w:szCs w:val="20"/>
              </w:rPr>
            </w:pPr>
            <w:bookmarkStart w:id="6" w:name="联系人传真Add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hint="eastAsia" w:ascii="宋体" w:eastAsia="宋体"/>
                <w:b/>
                <w:color w:val="000000"/>
                <w:sz w:val="20"/>
                <w:szCs w:val="20"/>
                <w:lang w:eastAsia="zh-CN"/>
              </w:rPr>
            </w:pPr>
            <w:bookmarkStart w:id="7" w:name="法人"/>
            <w:r>
              <w:rPr>
                <w:sz w:val="21"/>
                <w:szCs w:val="21"/>
              </w:rPr>
              <w:t>丁全亮</w:t>
            </w:r>
            <w:bookmarkEnd w:id="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jc w:val="center"/>
              <w:rPr>
                <w:rFonts w:ascii="宋体"/>
                <w:b/>
                <w:color w:val="000000"/>
                <w:sz w:val="20"/>
                <w:szCs w:val="20"/>
              </w:rPr>
            </w:pPr>
            <w:r>
              <w:rPr>
                <w:rFonts w:hint="eastAsia" w:ascii="宋体"/>
                <w:b/>
                <w:color w:val="000000"/>
                <w:sz w:val="20"/>
                <w:szCs w:val="20"/>
                <w:lang w:eastAsia="zh-CN"/>
              </w:rPr>
              <w:t>肖立艳</w:t>
            </w:r>
          </w:p>
        </w:tc>
        <w:tc>
          <w:tcPr>
            <w:tcW w:w="787" w:type="dxa"/>
          </w:tcPr>
          <w:p>
            <w:pPr>
              <w:jc w:val="center"/>
              <w:rPr>
                <w:rFonts w:ascii="宋体"/>
                <w:b/>
                <w:color w:val="000000"/>
                <w:sz w:val="20"/>
                <w:szCs w:val="20"/>
              </w:rPr>
            </w:pPr>
            <w:r>
              <w:rPr>
                <w:rFonts w:hint="eastAsia" w:ascii="宋体"/>
                <w:b/>
                <w:color w:val="000000"/>
                <w:sz w:val="20"/>
                <w:szCs w:val="20"/>
              </w:rPr>
              <w:t>邮箱</w:t>
            </w:r>
          </w:p>
        </w:tc>
        <w:tc>
          <w:tcPr>
            <w:tcW w:w="2013" w:type="dxa"/>
          </w:tcPr>
          <w:p>
            <w:pPr>
              <w:rPr>
                <w:rFonts w:ascii="宋体"/>
                <w:b/>
                <w:color w:val="000000"/>
                <w:sz w:val="20"/>
                <w:szCs w:val="20"/>
              </w:rPr>
            </w:pPr>
            <w:bookmarkStart w:id="8" w:name="联系人邮箱"/>
            <w:r>
              <w:rPr>
                <w:sz w:val="21"/>
                <w:szCs w:val="21"/>
              </w:rPr>
              <w:t>409104674</w:t>
            </w:r>
            <w:bookmarkEnd w:id="8"/>
            <w:r>
              <w:rPr>
                <w:rFonts w:hint="eastAsia"/>
                <w:sz w:val="21"/>
                <w:szCs w:val="21"/>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rPr>
                <w:rFonts w:hint="eastAsia" w:ascii="宋体" w:hAnsi="宋体"/>
                <w:sz w:val="21"/>
                <w:szCs w:val="21"/>
              </w:rPr>
            </w:pPr>
            <w:bookmarkStart w:id="9" w:name="审核范围"/>
            <w:r>
              <w:rPr>
                <w:rFonts w:hint="eastAsia" w:ascii="宋体" w:hAnsi="宋体"/>
                <w:sz w:val="21"/>
                <w:szCs w:val="21"/>
              </w:rPr>
              <w:t>Q：聚乙烯丙纶防水卷材的生产</w:t>
            </w:r>
          </w:p>
          <w:p>
            <w:pPr>
              <w:rPr>
                <w:rFonts w:hint="eastAsia"/>
                <w:color w:val="000000"/>
                <w:sz w:val="21"/>
                <w:szCs w:val="21"/>
              </w:rPr>
            </w:pPr>
            <w:r>
              <w:rPr>
                <w:rFonts w:hint="eastAsia" w:ascii="宋体" w:hAnsi="宋体"/>
                <w:sz w:val="21"/>
                <w:szCs w:val="21"/>
              </w:rPr>
              <w:t>E：聚乙烯丙纶防水卷材的生产所涉及场所相关的环境管理活动</w:t>
            </w:r>
          </w:p>
          <w:p>
            <w:pPr>
              <w:rPr>
                <w:rFonts w:ascii="宋体" w:hAnsi="宋体"/>
                <w:b/>
                <w:color w:val="000000"/>
                <w:sz w:val="20"/>
                <w:szCs w:val="20"/>
              </w:rPr>
            </w:pPr>
            <w:r>
              <w:rPr>
                <w:rFonts w:hint="eastAsia" w:ascii="宋体" w:hAnsi="宋体"/>
                <w:sz w:val="21"/>
                <w:szCs w:val="21"/>
              </w:rPr>
              <w:t>O：聚乙烯丙纶防水卷材的生产所涉及场所相关的职业健康安全管理活动</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10" w:name="专业代码"/>
            <w:r>
              <w:rPr>
                <w:rFonts w:ascii="宋体"/>
                <w:b/>
                <w:color w:val="000000"/>
                <w:sz w:val="20"/>
                <w:szCs w:val="20"/>
              </w:rPr>
              <w:t>Q：</w:t>
            </w:r>
            <w:r>
              <w:rPr>
                <w:rFonts w:hint="eastAsia" w:ascii="宋体"/>
                <w:b/>
                <w:color w:val="000000"/>
                <w:sz w:val="20"/>
                <w:szCs w:val="20"/>
                <w:lang w:eastAsia="zh-CN"/>
              </w:rPr>
              <w:t>14.02.03</w:t>
            </w:r>
          </w:p>
          <w:p>
            <w:pPr>
              <w:spacing w:line="280" w:lineRule="exact"/>
              <w:rPr>
                <w:rFonts w:hint="eastAsia" w:ascii="宋体" w:eastAsia="宋体"/>
                <w:b/>
                <w:color w:val="000000"/>
                <w:sz w:val="20"/>
                <w:szCs w:val="20"/>
                <w:lang w:eastAsia="zh-CN"/>
              </w:rPr>
            </w:pPr>
            <w:r>
              <w:rPr>
                <w:rFonts w:ascii="宋体"/>
                <w:b/>
                <w:color w:val="000000"/>
                <w:sz w:val="20"/>
                <w:szCs w:val="20"/>
              </w:rPr>
              <w:t>E：</w:t>
            </w:r>
            <w:r>
              <w:rPr>
                <w:rFonts w:hint="eastAsia" w:ascii="宋体"/>
                <w:b/>
                <w:color w:val="000000"/>
                <w:sz w:val="20"/>
                <w:szCs w:val="20"/>
                <w:lang w:eastAsia="zh-CN"/>
              </w:rPr>
              <w:t>14.02.03</w:t>
            </w:r>
          </w:p>
          <w:p>
            <w:pPr>
              <w:spacing w:line="280" w:lineRule="exact"/>
              <w:rPr>
                <w:rFonts w:hint="eastAsia" w:ascii="宋体" w:eastAsia="宋体"/>
                <w:b/>
                <w:color w:val="000000"/>
                <w:sz w:val="20"/>
                <w:szCs w:val="20"/>
                <w:lang w:eastAsia="zh-CN"/>
              </w:rPr>
            </w:pPr>
            <w:r>
              <w:rPr>
                <w:rFonts w:ascii="宋体"/>
                <w:b/>
                <w:color w:val="000000"/>
                <w:sz w:val="20"/>
                <w:szCs w:val="20"/>
              </w:rPr>
              <w:t>O：</w:t>
            </w:r>
            <w:bookmarkEnd w:id="10"/>
            <w:r>
              <w:rPr>
                <w:rFonts w:hint="eastAsia" w:ascii="宋体"/>
                <w:b/>
                <w:color w:val="000000"/>
                <w:sz w:val="20"/>
                <w:szCs w:val="20"/>
                <w:lang w:eastAsia="zh-CN"/>
              </w:rPr>
              <w:t>14.02.03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color w:val="000000"/>
                <w:sz w:val="20"/>
                <w:szCs w:val="20"/>
                <w:lang w:val="en-US" w:eastAsia="zh-CN"/>
              </w:rPr>
              <w:t>无</w:t>
            </w: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sz w:val="21"/>
                <w:szCs w:val="21"/>
              </w:rPr>
              <w:t xml:space="preserve">聚乙烯丙纶防水卷材的生产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综合部、生产部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河北省任丘市北辛庄乡苑临河村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河北省任丘市北辛庄乡苑临河村</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5</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default" w:ascii="Times New Roman" w:hAnsi="Times New Roman" w:cs="Times New Roman"/>
                <w:sz w:val="21"/>
                <w:szCs w:val="21"/>
              </w:rPr>
              <w:t xml:space="preserve">GB/T </w:t>
            </w:r>
            <w:r>
              <w:rPr>
                <w:rFonts w:hint="eastAsia" w:cs="Times New Roman"/>
                <w:sz w:val="21"/>
                <w:szCs w:val="21"/>
                <w:lang w:val="en-US" w:eastAsia="zh-CN"/>
              </w:rPr>
              <w:t>18173.1-2012</w:t>
            </w:r>
            <w:r>
              <w:rPr>
                <w:rFonts w:hint="default" w:ascii="Times New Roman" w:hAnsi="Times New Roman" w:cs="Times New Roman"/>
                <w:sz w:val="21"/>
                <w:szCs w:val="21"/>
              </w:rPr>
              <w:t>《</w:t>
            </w:r>
            <w:r>
              <w:rPr>
                <w:rFonts w:hint="eastAsia" w:cs="Times New Roman"/>
                <w:sz w:val="21"/>
                <w:szCs w:val="21"/>
                <w:lang w:val="en-US" w:eastAsia="zh-CN"/>
              </w:rPr>
              <w:t>高分子防水材料 第一部分：片材</w:t>
            </w:r>
            <w:r>
              <w:rPr>
                <w:rFonts w:hint="default" w:ascii="Times New Roman" w:hAnsi="Times New Roman" w:cs="Times New Roman"/>
                <w:sz w:val="21"/>
                <w:szCs w:val="21"/>
              </w:rPr>
              <w:t>》</w:t>
            </w:r>
            <w:r>
              <w:rPr>
                <w:rFonts w:hint="eastAsia" w:cs="Times New Roman"/>
                <w:sz w:val="21"/>
                <w:szCs w:val="21"/>
                <w:lang w:eastAsia="zh-CN"/>
              </w:rPr>
              <w:t>、GB T 26518-2011《高分子增强复合防水片材》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现状环境影响评估报告</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bookmarkStart w:id="11" w:name="_GoBack"/>
            <w:r>
              <w:rPr>
                <w:rFonts w:hint="eastAsia" w:ascii="宋体" w:hAnsi="宋体"/>
                <w:color w:val="000000"/>
                <w:spacing w:val="-10"/>
                <w:sz w:val="20"/>
                <w:szCs w:val="20"/>
                <w:lang w:val="en-US" w:eastAsia="zh-CN"/>
              </w:rPr>
              <w:t>备案表</w:t>
            </w:r>
            <w:bookmarkEnd w:id="11"/>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评估报告专家评审意见</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固定污染源排污登记回执</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sz w:val="21"/>
                <w:szCs w:val="21"/>
                <w:lang w:val="en-US" w:eastAsia="zh-CN"/>
              </w:rPr>
              <w:t>配料</w:t>
            </w:r>
            <w:r>
              <w:rPr>
                <w:rFonts w:hint="eastAsia" w:ascii="宋体" w:hAnsi="宋体"/>
                <w:sz w:val="21"/>
                <w:szCs w:val="21"/>
              </w:rPr>
              <w:t>→</w:t>
            </w:r>
            <w:r>
              <w:rPr>
                <w:rFonts w:hint="eastAsia" w:ascii="宋体" w:hAnsi="宋体"/>
                <w:sz w:val="21"/>
                <w:szCs w:val="21"/>
                <w:lang w:val="en-US" w:eastAsia="zh-CN"/>
              </w:rPr>
              <w:t>加热挤出</w:t>
            </w:r>
            <w:r>
              <w:rPr>
                <w:rFonts w:hint="eastAsia" w:ascii="宋体" w:hAnsi="宋体"/>
                <w:sz w:val="21"/>
                <w:szCs w:val="21"/>
              </w:rPr>
              <w:t>→</w:t>
            </w:r>
            <w:r>
              <w:rPr>
                <w:rFonts w:hint="eastAsia" w:ascii="宋体" w:hAnsi="宋体"/>
                <w:sz w:val="21"/>
                <w:szCs w:val="21"/>
                <w:lang w:val="en-US" w:eastAsia="zh-CN"/>
              </w:rPr>
              <w:t>复合（无纺布）</w:t>
            </w:r>
            <w:r>
              <w:rPr>
                <w:rFonts w:hint="eastAsia" w:ascii="宋体" w:hAnsi="宋体"/>
                <w:sz w:val="21"/>
                <w:szCs w:val="21"/>
              </w:rPr>
              <w:t>→</w:t>
            </w:r>
            <w:r>
              <w:rPr>
                <w:rFonts w:hint="eastAsia" w:ascii="宋体" w:hAnsi="宋体"/>
                <w:sz w:val="21"/>
                <w:szCs w:val="21"/>
                <w:lang w:val="en-US" w:eastAsia="zh-CN"/>
              </w:rPr>
              <w:t>牵引打卷</w:t>
            </w:r>
            <w:r>
              <w:rPr>
                <w:rFonts w:hint="eastAsia" w:ascii="宋体" w:hAnsi="宋体"/>
                <w:sz w:val="21"/>
                <w:szCs w:val="21"/>
              </w:rPr>
              <w:t>→</w:t>
            </w:r>
            <w:r>
              <w:rPr>
                <w:rFonts w:hint="eastAsia" w:ascii="宋体" w:hAnsi="宋体"/>
                <w:sz w:val="21"/>
                <w:szCs w:val="21"/>
                <w:lang w:val="en-US" w:eastAsia="zh-CN"/>
              </w:rPr>
              <w:t>切边</w:t>
            </w:r>
            <w:r>
              <w:rPr>
                <w:rFonts w:hint="eastAsia" w:ascii="宋体" w:hAnsi="宋体"/>
                <w:sz w:val="21"/>
                <w:szCs w:val="21"/>
              </w:rPr>
              <w:t>→</w:t>
            </w:r>
            <w:r>
              <w:rPr>
                <w:rFonts w:hint="eastAsia" w:ascii="宋体" w:hAnsi="宋体"/>
                <w:sz w:val="21"/>
                <w:szCs w:val="21"/>
                <w:lang w:val="en-US" w:eastAsia="zh-CN"/>
              </w:rPr>
              <w:t>包装</w:t>
            </w:r>
            <w:r>
              <w:rPr>
                <w:rFonts w:hint="eastAsia" w:ascii="宋体" w:hAnsi="宋体"/>
                <w:sz w:val="21"/>
                <w:szCs w:val="21"/>
              </w:rPr>
              <w:t>→</w:t>
            </w:r>
            <w:r>
              <w:rPr>
                <w:rFonts w:hint="eastAsia" w:ascii="宋体" w:hAnsi="宋体"/>
                <w:sz w:val="21"/>
                <w:szCs w:val="21"/>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配料作业指导书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sz w:val="21"/>
                <w:szCs w:val="21"/>
                <w:highlight w:val="none"/>
                <w:lang w:val="en-US" w:eastAsia="zh-CN"/>
              </w:rPr>
              <w:t>塑料挤出复合机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钢直尺、游标卡尺、拉力试验机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val="en-US" w:eastAsia="zh-CN"/>
              </w:rPr>
              <w:t>办公楼一座，库房500平米，</w:t>
            </w:r>
            <w:r>
              <w:rPr>
                <w:rFonts w:hint="eastAsia"/>
                <w:sz w:val="21"/>
                <w:szCs w:val="21"/>
                <w:lang w:eastAsia="zh-CN"/>
              </w:rPr>
              <w:t>生产车间</w:t>
            </w:r>
            <w:r>
              <w:rPr>
                <w:rFonts w:hint="eastAsia"/>
                <w:sz w:val="21"/>
                <w:szCs w:val="21"/>
                <w:lang w:val="en-US" w:eastAsia="zh-CN"/>
              </w:rPr>
              <w:t>面积1200平米，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hint="eastAsia" w:ascii="宋体" w:hAnsi="宋体"/>
          <w:b/>
          <w:color w:val="000000"/>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2746375</wp:posOffset>
            </wp:positionH>
            <wp:positionV relativeFrom="paragraph">
              <wp:posOffset>168910</wp:posOffset>
            </wp:positionV>
            <wp:extent cx="781050" cy="428625"/>
            <wp:effectExtent l="0" t="0" r="6350" b="3175"/>
            <wp:wrapNone/>
            <wp:docPr id="5" name="图片 5" descr="2f0e229fe8af98fe8eb0a2d7f030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f0e229fe8af98fe8eb0a2d7f030cc7"/>
                    <pic:cNvPicPr>
                      <a:picLocks noChangeAspect="1"/>
                    </pic:cNvPicPr>
                  </pic:nvPicPr>
                  <pic:blipFill>
                    <a:blip r:embed="rId7"/>
                    <a:stretch>
                      <a:fillRect/>
                    </a:stretch>
                  </pic:blipFill>
                  <pic:spPr>
                    <a:xfrm>
                      <a:off x="0" y="0"/>
                      <a:ext cx="781050" cy="42862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1770380</wp:posOffset>
            </wp:positionH>
            <wp:positionV relativeFrom="paragraph">
              <wp:posOffset>247650</wp:posOffset>
            </wp:positionV>
            <wp:extent cx="730885" cy="464185"/>
            <wp:effectExtent l="0" t="0" r="5715" b="571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730885" cy="46418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2020年10月14日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747454"/>
    <w:rsid w:val="4C971B61"/>
    <w:rsid w:val="7D611C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41</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2020-10-16T07:47:35Z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