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周涛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2018-N1OHSMS-2072033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2019-N1QMS-3072033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2018-N1EMS-2072033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ISC-72033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河北鲲腾体育用品有限公司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定州市庞村镇西坂村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073000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定州市庞村镇西坂村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073000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定州市庞村镇西坂村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073000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朱宁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17331242286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朱宁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朱宁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2020年10月03日 下午至2020年10月06日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O：29.12.00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Q：29.12.00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E：29.12.00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