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(远程审核）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3"/>
        <w:gridCol w:w="500"/>
        <w:gridCol w:w="870"/>
        <w:gridCol w:w="6"/>
        <w:gridCol w:w="567"/>
        <w:gridCol w:w="919"/>
        <w:gridCol w:w="323"/>
        <w:gridCol w:w="75"/>
        <w:gridCol w:w="101"/>
        <w:gridCol w:w="589"/>
        <w:gridCol w:w="261"/>
        <w:gridCol w:w="251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北京绿岸壹号能源科技有限公司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北京市海淀区清华科技园区创业大厦501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罗永华</w:t>
            </w:r>
            <w:bookmarkEnd w:id="2"/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18601371202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7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敖江昵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r>
              <w:t>010-62780182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luoxiuwen@sina.com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0208-2020-EO</w:t>
            </w:r>
            <w:bookmarkEnd w:id="8"/>
          </w:p>
        </w:tc>
        <w:tc>
          <w:tcPr>
            <w:tcW w:w="137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O：环保机械设备的销售服务及相关职业健康安全管理活动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E：环保机械设备的销售服务及相关环境管理活动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O：GB/T45001-2020 / ISO45001：2018,E：GB/T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2020年10月10日 上午至2020年10月10日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  <w:bookmarkStart w:id="17" w:name="_GoBack"/>
            <w:r>
              <w:rPr>
                <w:sz w:val="20"/>
              </w:rPr>
              <w:t>李蒙生</w:t>
            </w:r>
          </w:p>
          <w:bookmarkEnd w:id="17"/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18031915393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受审核方</w:t>
            </w:r>
          </w:p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302"/>
        <w:gridCol w:w="2438"/>
        <w:gridCol w:w="3412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62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4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10.10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7152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全体，首次会议</w:t>
            </w:r>
          </w:p>
        </w:tc>
        <w:tc>
          <w:tcPr>
            <w:tcW w:w="12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</w:t>
            </w:r>
          </w:p>
        </w:tc>
        <w:tc>
          <w:tcPr>
            <w:tcW w:w="13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(含员工代表）</w:t>
            </w:r>
          </w:p>
        </w:tc>
        <w:tc>
          <w:tcPr>
            <w:tcW w:w="2438" w:type="dxa"/>
            <w:vAlign w:val="top"/>
          </w:tcPr>
          <w:p>
            <w:pPr>
              <w:pStyle w:val="13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O: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O:5.4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341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组织的内外部环境；相关方需求和期望；体系范围界定；管理体系的策划及变更的策划；领导作用及承诺；方针；组织的角色、职责和权限；应对风险和机遇的措施（总则）；目标及其实现的策划；资源配置；沟通交流和协商；文件化信息（总则）；监视、测量分析和评价（总则）；管理评审；持续改进等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eastAsia="zh-CN"/>
              </w:rPr>
              <w:t>，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</w:pPr>
          </w:p>
        </w:tc>
        <w:tc>
          <w:tcPr>
            <w:tcW w:w="125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13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13"/>
              <w:rPr>
                <w:rFonts w:hint="default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0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8.2</w:t>
            </w:r>
          </w:p>
        </w:tc>
        <w:tc>
          <w:tcPr>
            <w:tcW w:w="341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8"/>
                <w:szCs w:val="22"/>
              </w:rPr>
              <w:t>组织的岗位、职责权限；目标、方案；环境因素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危险源</w:t>
            </w:r>
            <w:r>
              <w:rPr>
                <w:rFonts w:hint="default" w:ascii="宋体" w:hAnsi="宋体" w:eastAsia="宋体" w:cs="Times New Roman"/>
                <w:sz w:val="18"/>
                <w:szCs w:val="22"/>
              </w:rPr>
              <w:t>识别评价；运行的策划和控制；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应急准备和响应</w:t>
            </w:r>
          </w:p>
        </w:tc>
        <w:tc>
          <w:tcPr>
            <w:tcW w:w="12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02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243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:5.3/6.1.2/6.1.1/6.1.3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6.2/7.2/7.3/7.4/7.5/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9.2/10.1/10.2/9.1.1</w:t>
            </w:r>
          </w:p>
        </w:tc>
        <w:tc>
          <w:tcPr>
            <w:tcW w:w="341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组织的角色、职责和权限；应对风险和机遇的措施（总则）；环境因素识别及评价；合格义务；措施的策划；目标及其实现的策划；能力/意识；沟通交流和协商；创建和更新/文件化信息的控制；运行策划及控制；应急准备和响应；监视测量分析和评价（总则）；合规性评价；内部审核，不符合和纠正措施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资金情况</w:t>
            </w:r>
          </w:p>
        </w:tc>
        <w:tc>
          <w:tcPr>
            <w:tcW w:w="12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7152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与受审核方领导层沟通，末次会议</w:t>
            </w:r>
          </w:p>
        </w:tc>
        <w:tc>
          <w:tcPr>
            <w:tcW w:w="12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626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40B7E"/>
    <w:rsid w:val="08884061"/>
    <w:rsid w:val="1DAE06F2"/>
    <w:rsid w:val="309504C7"/>
    <w:rsid w:val="57AC0FCF"/>
    <w:rsid w:val="717E3D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17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2020-10-10T16:37:24Z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