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both"/>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0493-2020-Q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成都汉度科技有限公司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r>
              <w:rPr>
                <w:rFonts w:hint="eastAsia"/>
                <w:b/>
                <w:color w:val="000000" w:themeColor="text1"/>
                <w:sz w:val="20"/>
                <w:szCs w:val="20"/>
              </w:rPr>
              <w:t>（见证人）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r>
              <w:rPr>
                <w:rFonts w:hint="eastAsia"/>
                <w:b/>
                <w:color w:val="000000" w:themeColor="text1"/>
                <w:sz w:val="20"/>
                <w:szCs w:val="20"/>
              </w:rPr>
              <w:t>（被见证）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sz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成都汉度科技有限公司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中国(四川)自由贸易试验区成都高新区天府大道中段1388号1栋2层264号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成都市高新区天府大道北段1480号孵化园5号楼105、107</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朱晓寒</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028-85191842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代辉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代辉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李文超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计算机应用软件的开发及服务；电力系统智能输变信息、配电信息、用电信息采集用控制模块的设计、生产、销售及服务（涉及资质许可除外）</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19.01.02;33.02.01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sz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2020-01-02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行政</w:t>
            </w:r>
            <w:r>
              <w:rPr>
                <w:rFonts w:hint="eastAsia" w:ascii="宋体" w:hAnsi="宋体" w:cs="Times New Roman"/>
                <w:b/>
                <w:color w:val="000000" w:themeColor="text1"/>
                <w:sz w:val="20"/>
                <w:szCs w:val="20"/>
              </w:rPr>
              <w:t>部</w:t>
            </w:r>
            <w:r>
              <w:rPr>
                <w:rFonts w:hint="eastAsia" w:ascii="宋体" w:hAnsi="宋体"/>
                <w:b/>
                <w:color w:val="000000" w:themeColor="text1"/>
                <w:sz w:val="20"/>
                <w:szCs w:val="20"/>
              </w:rPr>
              <w:t>（含财务部）</w:t>
            </w:r>
          </w:p>
        </w:tc>
        <w:tc>
          <w:tcPr>
            <w:tcW w:w="6804" w:type="dxa"/>
          </w:tcPr>
          <w:p>
            <w:pP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119" w:type="dxa"/>
          </w:tcPr>
          <w:p>
            <w:pPr>
              <w:jc w:val="center"/>
              <w:rPr>
                <w:rFonts w:hint="eastAsia" w:ascii="宋体" w:hAnsi="宋体" w:cs="Times New Roman"/>
                <w:b/>
                <w:color w:val="000000" w:themeColor="text1"/>
                <w:sz w:val="20"/>
                <w:szCs w:val="20"/>
                <w:lang w:eastAsia="zh-CN"/>
              </w:rPr>
            </w:pPr>
            <w:r>
              <w:rPr>
                <w:rFonts w:hint="eastAsia" w:ascii="宋体" w:hAnsi="宋体" w:cs="Times New Roman"/>
                <w:b/>
                <w:color w:val="000000" w:themeColor="text1"/>
                <w:sz w:val="20"/>
                <w:szCs w:val="20"/>
                <w:lang w:eastAsia="zh-CN"/>
              </w:rPr>
              <w:t>研发部</w:t>
            </w:r>
          </w:p>
        </w:tc>
        <w:tc>
          <w:tcPr>
            <w:tcW w:w="6804" w:type="dxa"/>
          </w:tcPr>
          <w:p>
            <w:pPr>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cs="Times New Roman"/>
                <w:b/>
                <w:color w:val="000000" w:themeColor="text1"/>
                <w:sz w:val="20"/>
                <w:szCs w:val="20"/>
                <w:lang w:eastAsia="zh-CN"/>
              </w:rPr>
            </w:pPr>
            <w:r>
              <w:rPr>
                <w:rFonts w:hint="eastAsia" w:ascii="宋体" w:hAnsi="宋体" w:cs="Times New Roman"/>
                <w:b/>
                <w:color w:val="000000" w:themeColor="text1"/>
                <w:sz w:val="20"/>
                <w:szCs w:val="20"/>
                <w:lang w:eastAsia="zh-CN"/>
              </w:rPr>
              <w:t>市场部</w:t>
            </w:r>
          </w:p>
        </w:tc>
        <w:tc>
          <w:tcPr>
            <w:tcW w:w="6804" w:type="dxa"/>
          </w:tcPr>
          <w:p>
            <w:pPr>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r>
              <w:rPr>
                <w:rFonts w:hint="eastAsia" w:ascii="宋体" w:hAnsi="宋体" w:eastAsia="宋体" w:cs="Times New Roman"/>
                <w:b/>
                <w:sz w:val="20"/>
                <w:szCs w:val="20"/>
                <w:lang w:val="en-US" w:eastAsia="zh-CN"/>
              </w:rPr>
              <w:t>顾客满意度调查</w:t>
            </w:r>
            <w:r>
              <w:rPr>
                <w:rFonts w:hint="eastAsia" w:ascii="宋体" w:hAnsi="宋体" w:cs="Times New Roman"/>
                <w:b/>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计算机应用软件的开发及服务；电力系统智能输变信息、配电信息、用电信息采集用控制模块的销售及服务（涉及资质许可除外）</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spacing w:line="400" w:lineRule="exact"/>
              <w:rPr>
                <w:rFonts w:hint="eastAsia" w:eastAsia="宋体"/>
                <w:b/>
                <w:color w:val="000000" w:themeColor="text1"/>
                <w:sz w:val="20"/>
                <w:szCs w:val="20"/>
                <w:lang w:eastAsia="zh-CN"/>
              </w:rPr>
            </w:pPr>
            <w:r>
              <w:rPr>
                <w:rFonts w:hint="eastAsia" w:ascii="宋体" w:hAnsi="宋体" w:eastAsia="宋体" w:cs="宋体"/>
                <w:b/>
                <w:sz w:val="21"/>
                <w:szCs w:val="21"/>
              </w:rPr>
              <w:t>GDW1374.3-2013采集系统通信单元技术规范》</w:t>
            </w:r>
            <w:r>
              <w:rPr>
                <w:rFonts w:hint="eastAsia" w:ascii="宋体" w:hAnsi="宋体" w:eastAsia="宋体" w:cs="宋体"/>
                <w:b/>
                <w:sz w:val="21"/>
                <w:szCs w:val="21"/>
                <w:lang w:eastAsia="zh-CN"/>
              </w:rPr>
              <w:t>；</w:t>
            </w:r>
            <w:r>
              <w:rPr>
                <w:rFonts w:hint="eastAsia" w:ascii="宋体" w:hAnsi="宋体" w:eastAsia="宋体" w:cs="宋体"/>
                <w:b/>
                <w:sz w:val="21"/>
                <w:szCs w:val="21"/>
              </w:rPr>
              <w:t>《GB-T2423.1-2008试验A：低温试验方法》</w:t>
            </w:r>
            <w:r>
              <w:rPr>
                <w:rFonts w:hint="eastAsia" w:ascii="宋体" w:hAnsi="宋体" w:eastAsia="宋体" w:cs="宋体"/>
                <w:b/>
                <w:sz w:val="21"/>
                <w:szCs w:val="21"/>
                <w:lang w:eastAsia="zh-CN"/>
              </w:rPr>
              <w:t>；</w:t>
            </w:r>
            <w:r>
              <w:rPr>
                <w:rFonts w:hint="eastAsia" w:ascii="宋体" w:hAnsi="宋体" w:eastAsia="宋体" w:cs="宋体"/>
                <w:b/>
                <w:sz w:val="21"/>
                <w:szCs w:val="21"/>
              </w:rPr>
              <w:t>《GB∕T 17626.2-2018 电磁兼容 试验和测量技术》</w:t>
            </w:r>
            <w:r>
              <w:rPr>
                <w:rFonts w:hint="eastAsia" w:ascii="宋体" w:hAnsi="宋体" w:eastAsia="宋体" w:cs="宋体"/>
                <w:b/>
                <w:sz w:val="21"/>
                <w:szCs w:val="21"/>
                <w:lang w:eastAsia="zh-CN"/>
              </w:rPr>
              <w:t>；</w:t>
            </w:r>
            <w:r>
              <w:rPr>
                <w:rFonts w:hint="eastAsia" w:ascii="宋体" w:hAnsi="宋体" w:eastAsia="宋体" w:cs="宋体"/>
                <w:b/>
                <w:sz w:val="21"/>
                <w:szCs w:val="21"/>
              </w:rPr>
              <w:t>《Q／GDW-1374.2-2013-电力用户用电信息采集系统技术规范-第2部分：集中抄表终端技术规范》</w:t>
            </w:r>
            <w:r>
              <w:rPr>
                <w:rFonts w:hint="eastAsia" w:ascii="宋体" w:hAnsi="宋体" w:eastAsia="宋体" w:cs="宋体"/>
                <w:b/>
                <w:sz w:val="21"/>
                <w:szCs w:val="21"/>
                <w:lang w:eastAsia="zh-CN"/>
              </w:rPr>
              <w:t>等</w:t>
            </w:r>
            <w:r>
              <w:rPr>
                <w:rFonts w:hint="eastAsia" w:ascii="宋体" w:hAnsi="宋体" w:cs="Times New Roman"/>
                <w:sz w:val="21"/>
                <w:szCs w:val="21"/>
                <w:lang w:val="en-US" w:eastAsia="zh-CN"/>
              </w:rPr>
              <w:t>、</w:t>
            </w:r>
            <w:r>
              <w:rPr>
                <w:rFonts w:hint="eastAsia" w:ascii="宋体" w:hAnsi="宋体" w:eastAsia="宋体" w:cs="宋体"/>
                <w:b/>
                <w:sz w:val="21"/>
                <w:szCs w:val="21"/>
              </w:rPr>
              <w:t>中华人民共和国产品质量法、中华人民共和国消费者权益法等</w:t>
            </w:r>
            <w:r>
              <w:rPr>
                <w:rFonts w:hint="eastAsia" w:ascii="宋体" w:hAnsi="宋体" w:eastAsia="宋体" w:cs="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sz w:val="20"/>
              </w:rPr>
              <w:t>电力系统智能输变信息、配电信息、用电信息采集用控制模块的设计、生产</w:t>
            </w:r>
            <w:r>
              <w:rPr>
                <w:rFonts w:hint="eastAsia"/>
                <w:sz w:val="20"/>
                <w:lang w:eastAsia="zh-CN"/>
              </w:rPr>
              <w:t>。</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宋体"/>
                <w:b/>
                <w:sz w:val="21"/>
                <w:szCs w:val="21"/>
              </w:rPr>
              <w:t>GDW1374.3-2013采集系统通信单元技术规范》</w:t>
            </w:r>
            <w:r>
              <w:rPr>
                <w:rFonts w:hint="eastAsia" w:ascii="宋体" w:hAnsi="宋体" w:eastAsia="宋体" w:cs="宋体"/>
                <w:b/>
                <w:sz w:val="21"/>
                <w:szCs w:val="21"/>
                <w:lang w:eastAsia="zh-CN"/>
              </w:rPr>
              <w:t>；</w:t>
            </w:r>
            <w:r>
              <w:rPr>
                <w:rFonts w:hint="eastAsia" w:ascii="宋体" w:hAnsi="宋体" w:eastAsia="宋体" w:cs="宋体"/>
                <w:b/>
                <w:sz w:val="21"/>
                <w:szCs w:val="21"/>
              </w:rPr>
              <w:t>《GB-T2423.1-2008试验A：低温试验方法》</w:t>
            </w:r>
            <w:r>
              <w:rPr>
                <w:rFonts w:hint="eastAsia" w:ascii="宋体" w:hAnsi="宋体" w:eastAsia="宋体" w:cs="宋体"/>
                <w:b/>
                <w:sz w:val="21"/>
                <w:szCs w:val="21"/>
                <w:lang w:eastAsia="zh-CN"/>
              </w:rPr>
              <w:t>；</w:t>
            </w:r>
            <w:r>
              <w:rPr>
                <w:rFonts w:hint="eastAsia" w:ascii="宋体" w:hAnsi="宋体" w:eastAsia="宋体" w:cs="宋体"/>
                <w:b/>
                <w:sz w:val="21"/>
                <w:szCs w:val="21"/>
              </w:rPr>
              <w:t>《GB∕T 17626.2-2018 电磁兼容 试验和测量技术》</w:t>
            </w:r>
            <w:r>
              <w:rPr>
                <w:rFonts w:hint="eastAsia" w:ascii="宋体" w:hAnsi="宋体" w:eastAsia="宋体" w:cs="宋体"/>
                <w:b/>
                <w:sz w:val="21"/>
                <w:szCs w:val="21"/>
                <w:lang w:eastAsia="zh-CN"/>
              </w:rPr>
              <w:t>；</w:t>
            </w:r>
            <w:r>
              <w:rPr>
                <w:rFonts w:hint="eastAsia" w:ascii="宋体" w:hAnsi="宋体" w:eastAsia="宋体" w:cs="宋体"/>
                <w:b/>
                <w:sz w:val="21"/>
                <w:szCs w:val="21"/>
              </w:rPr>
              <w:t>《Q／GDW-1374.2-2013-电力用户用电信息采集系统技术规范-第2部分：集中抄表终端技术规范》</w:t>
            </w:r>
            <w:r>
              <w:rPr>
                <w:rFonts w:hint="eastAsia" w:ascii="宋体" w:hAnsi="宋体" w:eastAsia="宋体" w:cs="宋体"/>
                <w:b/>
                <w:sz w:val="21"/>
                <w:szCs w:val="21"/>
                <w:lang w:eastAsia="zh-CN"/>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sz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val="en-US" w:eastAsia="zh-CN"/>
              </w:rPr>
              <w:t>经营优质产品，提供完善服务，不断持续改进，追求顾客满意。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firstLine="420" w:firstLineChars="2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rPr>
              <w:t>合同评审、过程监控管理；产品验收管理；监视和测量设备管理等。</w:t>
            </w:r>
          </w:p>
          <w:p>
            <w:pPr>
              <w:tabs>
                <w:tab w:val="left" w:pos="540"/>
              </w:tabs>
              <w:spacing w:line="300" w:lineRule="exact"/>
              <w:ind w:left="201" w:hanging="201" w:hangingChars="100"/>
              <w:rPr>
                <w:rFonts w:hint="eastAsia" w:ascii="宋体" w:hAnsi="宋体" w:eastAsia="宋体" w:cs="Times New Roman"/>
                <w:b/>
                <w:color w:val="000000" w:themeColor="text1"/>
                <w:sz w:val="20"/>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eastAsia="宋体" w:cs="Times New Roman"/>
                <w:b/>
                <w:color w:val="000000" w:themeColor="text1"/>
                <w:sz w:val="20"/>
                <w:lang w:val="en-US" w:eastAsia="zh-CN"/>
              </w:rPr>
              <w:t>设计研发、组装、检测</w:t>
            </w:r>
            <w:r>
              <w:rPr>
                <w:rFonts w:hint="eastAsia" w:ascii="宋体" w:hAnsi="宋体" w:cs="Times New Roman"/>
                <w:b/>
                <w:color w:val="000000" w:themeColor="text1"/>
                <w:sz w:val="20"/>
                <w:lang w:val="en-US" w:eastAsia="zh-CN"/>
              </w:rPr>
              <w:t>、老化、销售</w:t>
            </w:r>
            <w:r>
              <w:rPr>
                <w:rFonts w:hint="eastAsia" w:ascii="宋体" w:hAnsi="宋体" w:eastAsia="宋体" w:cs="Times New Roman"/>
                <w:b/>
                <w:color w:val="000000" w:themeColor="text1"/>
                <w:sz w:val="20"/>
                <w:lang w:val="en-US" w:eastAsia="zh-CN"/>
              </w:rPr>
              <w:t>过程；</w:t>
            </w:r>
          </w:p>
          <w:p>
            <w:pPr>
              <w:tabs>
                <w:tab w:val="left" w:pos="540"/>
              </w:tabs>
              <w:spacing w:line="300" w:lineRule="exact"/>
              <w:ind w:left="201" w:hanging="201" w:hangingChars="100"/>
              <w:rPr>
                <w:rFonts w:hint="eastAsia" w:ascii="宋体" w:hAnsi="宋体" w:eastAsia="宋体" w:cs="Times New Roman"/>
                <w:b/>
                <w:color w:val="000000" w:themeColor="text1"/>
                <w:sz w:val="20"/>
                <w:lang w:eastAsia="zh-CN"/>
              </w:rPr>
            </w:pPr>
            <w:r>
              <w:rPr>
                <w:rFonts w:hint="eastAsia" w:ascii="宋体" w:hAnsi="宋体" w:eastAsia="宋体" w:cs="Times New Roman"/>
                <w:b/>
                <w:color w:val="000000" w:themeColor="text1"/>
                <w:sz w:val="20"/>
              </w:rPr>
              <w:t>需要确认过程</w:t>
            </w:r>
            <w:r>
              <w:rPr>
                <w:rFonts w:hint="eastAsia" w:ascii="宋体" w:hAnsi="宋体" w:eastAsia="宋体" w:cs="Times New Roman"/>
                <w:b/>
                <w:color w:val="000000" w:themeColor="text1"/>
                <w:sz w:val="20"/>
                <w:lang w:eastAsia="zh-CN"/>
              </w:rPr>
              <w:t>：</w:t>
            </w:r>
            <w:r>
              <w:rPr>
                <w:rFonts w:hint="eastAsia" w:ascii="宋体" w:hAnsi="宋体" w:eastAsia="宋体" w:cs="Times New Roman"/>
                <w:b/>
                <w:color w:val="000000" w:themeColor="text1"/>
                <w:sz w:val="20"/>
                <w:lang w:val="en-US" w:eastAsia="zh-CN"/>
              </w:rPr>
              <w:t>设计研发</w:t>
            </w:r>
            <w:r>
              <w:rPr>
                <w:rFonts w:hint="eastAsia" w:ascii="宋体" w:hAnsi="宋体" w:cs="Times New Roman"/>
                <w:b/>
                <w:color w:val="000000" w:themeColor="text1"/>
                <w:sz w:val="20"/>
                <w:lang w:val="en-US" w:eastAsia="zh-CN"/>
              </w:rPr>
              <w:t>、老化、销售</w:t>
            </w:r>
            <w:r>
              <w:rPr>
                <w:rFonts w:hint="eastAsia" w:ascii="宋体" w:hAnsi="宋体" w:eastAsia="宋体" w:cs="Times New Roman"/>
                <w:b/>
                <w:color w:val="000000" w:themeColor="text1"/>
                <w:sz w:val="20"/>
                <w:lang w:val="en-US" w:eastAsia="zh-CN"/>
              </w:rPr>
              <w:t>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color w:val="000000"/>
                <w:szCs w:val="21"/>
              </w:rPr>
            </w:pPr>
            <w:r>
              <w:rPr>
                <w:rFonts w:hint="eastAsia"/>
                <w:color w:val="000000"/>
                <w:szCs w:val="21"/>
              </w:rPr>
              <w:t>质量目标：</w:t>
            </w:r>
          </w:p>
          <w:p>
            <w:pPr>
              <w:spacing w:line="300" w:lineRule="exact"/>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设计组装</w:t>
            </w:r>
            <w:r>
              <w:rPr>
                <w:rFonts w:hint="eastAsia" w:ascii="宋体" w:hAnsi="宋体" w:eastAsia="宋体" w:cs="宋体"/>
                <w:color w:val="000000"/>
                <w:kern w:val="0"/>
                <w:szCs w:val="21"/>
                <w:lang w:eastAsia="zh-CN"/>
              </w:rPr>
              <w:t>合格率</w:t>
            </w:r>
            <w:r>
              <w:rPr>
                <w:rFonts w:hint="eastAsia" w:ascii="宋体" w:hAnsi="宋体" w:eastAsia="宋体" w:cs="宋体"/>
                <w:color w:val="000000"/>
                <w:kern w:val="0"/>
                <w:szCs w:val="21"/>
                <w:lang w:val="en-US" w:eastAsia="zh-CN"/>
              </w:rPr>
              <w:t>达到</w:t>
            </w:r>
            <w:r>
              <w:rPr>
                <w:rFonts w:hint="eastAsia" w:ascii="宋体" w:hAnsi="宋体" w:eastAsia="宋体" w:cs="宋体"/>
                <w:color w:val="000000"/>
                <w:kern w:val="0"/>
                <w:szCs w:val="21"/>
                <w:lang w:eastAsia="zh-CN"/>
              </w:rPr>
              <w:t>100%；</w:t>
            </w:r>
          </w:p>
          <w:p>
            <w:pPr>
              <w:spacing w:line="300" w:lineRule="exact"/>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合同履约率100％；</w:t>
            </w:r>
          </w:p>
          <w:p>
            <w:pPr>
              <w:spacing w:line="300" w:lineRule="exact"/>
              <w:ind w:firstLine="420" w:firstLineChars="200"/>
              <w:rPr>
                <w:rFonts w:ascii="宋体" w:hAnsi="宋体"/>
                <w:b/>
                <w:color w:val="000000" w:themeColor="text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eastAsia="zh-CN"/>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2</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auto"/>
                <w:sz w:val="20"/>
                <w:szCs w:val="20"/>
                <w:highlight w:val="green"/>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color w:val="auto"/>
                <w:highlight w:val="none"/>
                <w:lang w:val="en-US" w:eastAsia="zh-CN"/>
              </w:rPr>
              <w:t>公司用于产品研发、产品生产和</w:t>
            </w:r>
            <w:r>
              <w:rPr>
                <w:rFonts w:hint="eastAsia" w:ascii="宋体" w:hAnsi="宋体"/>
                <w:bCs/>
                <w:iCs/>
                <w:color w:val="auto"/>
                <w:highlight w:val="none"/>
                <w:lang w:eastAsia="zh-CN"/>
              </w:rPr>
              <w:t>办公</w:t>
            </w:r>
            <w:r>
              <w:rPr>
                <w:rFonts w:hint="eastAsia" w:ascii="宋体" w:hAnsi="宋体"/>
                <w:bCs/>
                <w:iCs/>
                <w:color w:val="auto"/>
                <w:highlight w:val="none"/>
                <w:lang w:val="en-US" w:eastAsia="zh-CN"/>
              </w:rPr>
              <w:t>场所</w:t>
            </w:r>
            <w:r>
              <w:rPr>
                <w:rFonts w:hint="eastAsia" w:ascii="宋体" w:hAnsi="宋体"/>
                <w:bCs/>
                <w:iCs/>
                <w:highlight w:val="none"/>
              </w:rPr>
              <w:t>面积</w:t>
            </w:r>
            <w:r>
              <w:rPr>
                <w:rFonts w:hint="eastAsia" w:ascii="宋体" w:hAnsi="宋体"/>
                <w:bCs/>
                <w:iCs/>
                <w:highlight w:val="none"/>
                <w:lang w:val="en-US" w:eastAsia="zh-CN"/>
              </w:rPr>
              <w:t>有400</w:t>
            </w:r>
            <w:r>
              <w:rPr>
                <w:rFonts w:hint="eastAsia" w:ascii="宋体" w:hAnsi="宋体"/>
                <w:bCs/>
                <w:iCs/>
                <w:highlight w:val="none"/>
              </w:rPr>
              <w:t>平方米</w:t>
            </w:r>
            <w:r>
              <w:rPr>
                <w:rFonts w:hint="eastAsia" w:ascii="宋体" w:hAnsi="宋体"/>
                <w:bCs/>
                <w:iCs/>
                <w:highlight w:val="none"/>
              </w:rPr>
              <w:t>左右，</w:t>
            </w:r>
            <w:r>
              <w:rPr>
                <w:rFonts w:hint="eastAsia" w:ascii="宋体" w:hAnsi="宋体" w:eastAsia="宋体" w:cs="Times New Roman"/>
                <w:bCs/>
                <w:iCs/>
                <w:highlight w:val="none"/>
              </w:rPr>
              <w:t>主要</w:t>
            </w:r>
            <w:r>
              <w:rPr>
                <w:rFonts w:hint="eastAsia" w:ascii="宋体" w:hAnsi="宋体" w:eastAsia="宋体" w:cs="Times New Roman"/>
                <w:bCs/>
                <w:iCs/>
                <w:highlight w:val="none"/>
                <w:lang w:val="en-US" w:eastAsia="zh-CN"/>
              </w:rPr>
              <w:t>服务</w:t>
            </w:r>
            <w:r>
              <w:rPr>
                <w:rFonts w:hint="eastAsia" w:ascii="宋体" w:hAnsi="宋体" w:eastAsia="宋体" w:cs="Times New Roman"/>
                <w:bCs/>
                <w:iCs/>
                <w:highlight w:val="none"/>
              </w:rPr>
              <w:t>设备包括</w:t>
            </w:r>
            <w:r>
              <w:rPr>
                <w:rFonts w:hint="eastAsia" w:ascii="宋体" w:hAnsi="宋体" w:eastAsia="宋体" w:cs="Times New Roman"/>
                <w:bCs/>
                <w:iCs/>
                <w:highlight w:val="none"/>
                <w:lang w:eastAsia="zh-CN"/>
              </w:rPr>
              <w:t>：</w:t>
            </w:r>
            <w:r>
              <w:rPr>
                <w:rFonts w:hint="eastAsia" w:ascii="宋体" w:hAnsi="宋体" w:eastAsia="宋体" w:cs="Times New Roman"/>
                <w:bCs/>
                <w:iCs/>
                <w:highlight w:val="none"/>
                <w:lang w:val="en-US" w:eastAsia="zh-CN"/>
              </w:rPr>
              <w:t>电脑及办公设备和稳压电源、贴片机、热风枪等生产设备</w:t>
            </w:r>
            <w:r>
              <w:rPr>
                <w:rFonts w:hint="eastAsia" w:ascii="宋体" w:hAnsi="宋体" w:eastAsia="宋体" w:cs="Times New Roman"/>
                <w:bCs/>
                <w:iCs/>
                <w:highlight w:val="none"/>
                <w:lang w:eastAsia="zh-CN"/>
              </w:rPr>
              <w:t>，可以</w:t>
            </w:r>
            <w:r>
              <w:rPr>
                <w:rFonts w:hint="eastAsia" w:ascii="宋体" w:hAnsi="宋体" w:eastAsia="宋体" w:cs="Times New Roman"/>
                <w:bCs/>
                <w:iCs/>
                <w:highlight w:val="none"/>
              </w:rPr>
              <w:t>满足计算机应用软件的开发及服务；电力系统智能输变信息、配电信息、用电信息采集用控制模块的设计、生产、销售及服务（涉及资质许可除外）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项目现场</w:t>
            </w:r>
            <w:r>
              <w:rPr>
                <w:rFonts w:hint="eastAsia" w:ascii="宋体" w:hAnsi="宋体" w:cs="宋体"/>
                <w:szCs w:val="21"/>
              </w:rPr>
              <w:t>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lang w:val="en-US" w:eastAsia="zh-CN"/>
              </w:rPr>
              <w:t>公司</w:t>
            </w:r>
            <w:r>
              <w:rPr>
                <w:rFonts w:hint="eastAsia" w:ascii="宋体" w:hAnsi="宋体" w:cs="宋体"/>
                <w:color w:val="000000"/>
                <w:szCs w:val="21"/>
                <w:highlight w:val="none"/>
              </w:rPr>
              <w:t>配置了相应的检测设备</w:t>
            </w:r>
            <w:r>
              <w:rPr>
                <w:rFonts w:hint="eastAsia" w:ascii="宋体" w:hAnsi="宋体" w:cs="宋体"/>
                <w:color w:val="000000"/>
                <w:szCs w:val="21"/>
                <w:highlight w:val="none"/>
                <w:lang w:eastAsia="zh-CN"/>
              </w:rPr>
              <w:t>：</w:t>
            </w:r>
            <w:r>
              <w:rPr>
                <w:rFonts w:hint="eastAsia" w:ascii="宋体" w:hAnsi="宋体" w:cs="Times New Roman"/>
                <w:szCs w:val="21"/>
                <w:highlight w:val="none"/>
                <w:lang w:val="en-US" w:eastAsia="zh-CN"/>
              </w:rPr>
              <w:t>游标卡尺、万用表、示波器等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均采用委外送检的方式。</w:t>
            </w:r>
            <w:r>
              <w:rPr>
                <w:rFonts w:hint="eastAsia"/>
                <w:szCs w:val="21"/>
                <w:highlight w:val="none"/>
                <w:lang w:eastAsia="zh-CN"/>
              </w:rPr>
              <w:t>提供有有效检定或校准证书。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rPr>
              <w:t>10. 对特种设备</w:t>
            </w:r>
            <w:r>
              <w:rPr>
                <w:rFonts w:hint="eastAsia"/>
                <w:b/>
                <w:color w:val="000000" w:themeColor="text1"/>
                <w:sz w:val="20"/>
                <w:szCs w:val="20"/>
                <w:highlight w:val="none"/>
              </w:rPr>
              <w:t xml:space="preserve">的维护; </w:t>
            </w:r>
            <w:r>
              <w:rPr>
                <w:rFonts w:hint="eastAsia"/>
                <w:b/>
                <w:sz w:val="20"/>
                <w:szCs w:val="20"/>
                <w:highlight w:val="none"/>
              </w:rPr>
              <w:t>（适用时）</w:t>
            </w:r>
          </w:p>
          <w:p>
            <w:pPr>
              <w:ind w:left="210" w:leftChars="100" w:firstLine="100" w:firstLineChars="50"/>
              <w:jc w:val="left"/>
              <w:rPr>
                <w:b/>
                <w:color w:val="000000" w:themeColor="text1"/>
                <w:sz w:val="20"/>
                <w:szCs w:val="20"/>
              </w:rPr>
            </w:pPr>
            <w:r>
              <w:rPr>
                <w:rFonts w:hint="eastAsia"/>
                <w:b/>
                <w:sz w:val="20"/>
                <w:szCs w:val="20"/>
                <w:highlight w:val="none"/>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b/>
                <w:color w:val="000000" w:themeColor="text1"/>
                <w:sz w:val="20"/>
                <w:szCs w:val="20"/>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w:t>
            </w:r>
            <w:r>
              <w:rPr>
                <w:rFonts w:hint="eastAsia" w:ascii="宋体" w:hAnsi="宋体" w:cs="宋体"/>
                <w:color w:val="000000"/>
                <w:szCs w:val="21"/>
                <w:highlight w:val="none"/>
              </w:rPr>
              <w:t>时，质量目标得到沟通和监视评价，通</w:t>
            </w:r>
            <w:r>
              <w:rPr>
                <w:rFonts w:hint="eastAsia" w:ascii="宋体" w:hAnsi="宋体" w:eastAsia="宋体" w:cs="宋体"/>
                <w:color w:val="000000"/>
                <w:szCs w:val="21"/>
                <w:highlight w:val="none"/>
              </w:rPr>
              <w:t>过数据的汇总统计、描述性统计等方法对目标进行了测量，总体已达到或超过了规定的目标值。通过20</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2季度</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000000"/>
                <w:szCs w:val="21"/>
                <w:highlight w:val="none"/>
              </w:rPr>
              <w:t>意度调查按</w:t>
            </w:r>
            <w:r>
              <w:rPr>
                <w:rFonts w:hint="eastAsia" w:ascii="宋体" w:hAnsi="宋体" w:eastAsia="宋体" w:cs="宋体"/>
                <w:color w:val="000000"/>
                <w:szCs w:val="21"/>
                <w:highlight w:val="none"/>
              </w:rPr>
              <w:t>规定实施，20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月实施，满意度评价</w:t>
            </w:r>
            <w:r>
              <w:rPr>
                <w:rFonts w:hint="eastAsia" w:ascii="宋体" w:hAnsi="宋体" w:eastAsia="宋体" w:cs="宋体"/>
                <w:color w:val="000000"/>
                <w:szCs w:val="21"/>
                <w:highlight w:val="none"/>
                <w:lang w:val="en-US" w:eastAsia="zh-CN"/>
              </w:rPr>
              <w:t>98%</w:t>
            </w:r>
            <w:r>
              <w:rPr>
                <w:rFonts w:hint="eastAsia" w:ascii="宋体" w:hAnsi="宋体" w:eastAsia="宋体" w:cs="宋体"/>
                <w:color w:val="000000"/>
                <w:szCs w:val="21"/>
                <w:highlight w:val="none"/>
              </w:rPr>
              <w:t>，</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color w:val="000000" w:themeColor="text1"/>
                <w:sz w:val="20"/>
                <w:szCs w:val="20"/>
              </w:rPr>
            </w:pPr>
            <w:r>
              <w:rPr>
                <w:rFonts w:hint="eastAsia" w:ascii="宋体" w:hAnsi="宋体" w:cs="宋体"/>
                <w:szCs w:val="21"/>
              </w:rPr>
              <w:t>建立有《内部审核控制程序》，规定了内审频次一年一次，内</w:t>
            </w:r>
            <w:r>
              <w:rPr>
                <w:rFonts w:hint="eastAsia" w:ascii="宋体" w:hAnsi="宋体" w:cs="宋体"/>
                <w:szCs w:val="21"/>
                <w:highlight w:val="none"/>
              </w:rPr>
              <w:t>审时间：</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3</w:t>
            </w:r>
            <w:r>
              <w:rPr>
                <w:rFonts w:hint="eastAsia"/>
                <w:sz w:val="21"/>
                <w:szCs w:val="21"/>
                <w:highlight w:val="none"/>
              </w:rPr>
              <w:t>月</w:t>
            </w:r>
            <w:r>
              <w:rPr>
                <w:rFonts w:hint="eastAsia"/>
                <w:sz w:val="21"/>
                <w:szCs w:val="21"/>
                <w:highlight w:val="none"/>
                <w:lang w:val="en-US" w:eastAsia="zh-CN"/>
              </w:rPr>
              <w:t>18</w:t>
            </w:r>
            <w:r>
              <w:rPr>
                <w:rFonts w:hint="eastAsia"/>
                <w:sz w:val="21"/>
                <w:szCs w:val="21"/>
                <w:highlight w:val="none"/>
              </w:rPr>
              <w:t>日</w:t>
            </w:r>
            <w:r>
              <w:rPr>
                <w:rFonts w:hint="eastAsia" w:ascii="宋体" w:hAnsi="宋体" w:cs="宋体"/>
                <w:szCs w:val="21"/>
                <w:highlight w:val="none"/>
              </w:rPr>
              <w:t>，拟</w:t>
            </w:r>
            <w:r>
              <w:rPr>
                <w:rFonts w:hint="eastAsia" w:ascii="宋体" w:hAnsi="宋体" w:cs="宋体"/>
                <w:szCs w:val="21"/>
              </w:rPr>
              <w:t>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 涉及</w:t>
            </w:r>
            <w:r>
              <w:rPr>
                <w:rFonts w:hint="eastAsia" w:ascii="宋体" w:hAnsi="宋体" w:cs="宋体"/>
                <w:szCs w:val="21"/>
                <w:lang w:val="en-US" w:eastAsia="zh-CN"/>
              </w:rPr>
              <w:t>行政</w:t>
            </w:r>
            <w:r>
              <w:rPr>
                <w:rFonts w:hint="eastAsia" w:ascii="宋体" w:hAnsi="宋体" w:cs="宋体"/>
                <w:szCs w:val="21"/>
                <w:lang w:eastAsia="zh-CN"/>
              </w:rPr>
              <w:t>部不符合标</w:t>
            </w:r>
            <w:r>
              <w:rPr>
                <w:rFonts w:hint="eastAsia" w:ascii="宋体" w:hAnsi="宋体" w:eastAsia="宋体" w:cs="宋体"/>
                <w:szCs w:val="21"/>
                <w:lang w:eastAsia="zh-CN"/>
              </w:rPr>
              <w:t>准</w:t>
            </w:r>
            <w:r>
              <w:rPr>
                <w:rFonts w:hint="eastAsia" w:ascii="宋体" w:hAnsi="宋体" w:eastAsia="宋体" w:cs="宋体"/>
                <w:szCs w:val="21"/>
                <w:lang w:val="en-US" w:eastAsia="zh-CN"/>
              </w:rPr>
              <w:t>7.5.3</w:t>
            </w:r>
            <w:r>
              <w:rPr>
                <w:rFonts w:hint="eastAsia" w:ascii="宋体" w:hAnsi="宋体" w:eastAsia="宋体" w:cs="宋体"/>
                <w:szCs w:val="21"/>
              </w:rPr>
              <w:t>条款</w:t>
            </w:r>
            <w:r>
              <w:rPr>
                <w:rFonts w:hint="eastAsia" w:ascii="宋体" w:hAnsi="宋体" w:eastAsia="宋体" w:cs="宋体"/>
                <w:szCs w:val="21"/>
                <w:lang w:val="en-US" w:eastAsia="zh-CN"/>
              </w:rPr>
              <w:t>行政部人员未保管好文件，致使记录清单遗失</w:t>
            </w:r>
            <w:r>
              <w:rPr>
                <w:rFonts w:hint="eastAsia" w:ascii="宋体" w:hAnsi="宋体" w:eastAsia="宋体" w:cs="宋体"/>
                <w:szCs w:val="21"/>
              </w:rPr>
              <w:t>，针对该不符合项</w:t>
            </w:r>
            <w:r>
              <w:rPr>
                <w:rFonts w:hint="eastAsia" w:ascii="宋体" w:hAnsi="宋体" w:cs="宋体"/>
                <w:szCs w:val="21"/>
              </w:rPr>
              <w:t>，已及时采取纠正措施后，经内审员</w:t>
            </w:r>
            <w:r>
              <w:rPr>
                <w:rFonts w:hint="eastAsia"/>
                <w:sz w:val="21"/>
                <w:szCs w:val="21"/>
              </w:rPr>
              <w:t>验证关闭</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cs="宋体"/>
                <w:szCs w:val="21"/>
                <w:highlight w:val="none"/>
              </w:rPr>
              <w:t>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27</w:t>
            </w:r>
            <w:r>
              <w:rPr>
                <w:rFonts w:hint="eastAsia" w:ascii="宋体" w:hAnsi="宋体"/>
                <w:kern w:val="0"/>
                <w:sz w:val="21"/>
                <w:szCs w:val="21"/>
                <w:highlight w:val="none"/>
              </w:rPr>
              <w:t>日</w:t>
            </w:r>
            <w:r>
              <w:rPr>
                <w:rFonts w:hint="eastAsia" w:ascii="宋体" w:hAnsi="宋体" w:cs="宋体"/>
                <w:szCs w:val="21"/>
                <w:highlight w:val="none"/>
              </w:rPr>
              <w:t>由总经理</w:t>
            </w:r>
            <w:r>
              <w:rPr>
                <w:rFonts w:hint="eastAsia" w:ascii="宋体" w:hAnsi="宋体" w:cs="宋体"/>
                <w:szCs w:val="21"/>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ind w:firstLine="3213" w:firstLineChars="1600"/>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3213" w:firstLineChars="1600"/>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ind w:firstLine="3213" w:firstLineChars="1600"/>
              <w:rPr>
                <w:b/>
                <w:color w:val="000000" w:themeColor="text1"/>
                <w:sz w:val="20"/>
                <w:szCs w:val="20"/>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ind w:firstLine="3213" w:firstLineChars="1600"/>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rPr>
                <w:rFonts w:hint="eastAsia"/>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 xml:space="preserve"> </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Chars="0" w:firstLine="3373" w:firstLineChars="16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 xml:space="preserve"> 0 </w:t>
      </w:r>
      <w:r>
        <w:rPr>
          <w:rFonts w:hint="eastAsia"/>
          <w:b/>
          <w:color w:val="000000" w:themeColor="text1"/>
          <w:highlight w:val="none"/>
        </w:rPr>
        <w:t>项，一般不符合</w:t>
      </w:r>
      <w:r>
        <w:rPr>
          <w:rFonts w:hint="eastAsia"/>
          <w:b/>
          <w:color w:val="000000" w:themeColor="text1"/>
          <w:highlight w:val="none"/>
          <w:lang w:val="en-US" w:eastAsia="zh-CN"/>
        </w:rPr>
        <w:t xml:space="preserve"> 1 </w:t>
      </w:r>
      <w:r>
        <w:rPr>
          <w:rFonts w:hint="eastAsia"/>
          <w:b/>
          <w:color w:val="000000" w:themeColor="text1"/>
          <w:highlight w:val="none"/>
        </w:rPr>
        <w:t>项，观察项项分布在</w:t>
      </w:r>
      <w:r>
        <w:rPr>
          <w:rFonts w:hint="eastAsia"/>
          <w:b/>
          <w:color w:val="000000" w:themeColor="text1"/>
          <w:highlight w:val="none"/>
          <w:lang w:val="en-US" w:eastAsia="zh-CN"/>
        </w:rPr>
        <w:t>生产</w:t>
      </w:r>
      <w:r>
        <w:rPr>
          <w:rFonts w:hint="eastAsia"/>
          <w:b/>
          <w:color w:val="000000" w:themeColor="text1"/>
          <w:highlight w:val="none"/>
        </w:rPr>
        <w:t>部门</w:t>
      </w:r>
      <w:r>
        <w:rPr>
          <w:rFonts w:hint="eastAsia"/>
          <w:b/>
          <w:color w:val="000000" w:themeColor="text1"/>
          <w:highlight w:val="none"/>
          <w:lang w:val="en-US" w:eastAsia="zh-CN"/>
        </w:rPr>
        <w:t>Q8.5.1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highlight w:val="none"/>
          <w:lang w:val="en-US" w:eastAsia="zh-CN"/>
        </w:rPr>
      </w:pPr>
      <w:r>
        <w:rPr>
          <w:rFonts w:hint="eastAsia"/>
          <w:b/>
          <w:color w:val="000000" w:themeColor="text1"/>
          <w:spacing w:val="-10"/>
          <w:szCs w:val="21"/>
          <w:highlight w:val="none"/>
          <w:lang w:eastAsia="zh-CN"/>
        </w:rPr>
        <w:t>■</w:t>
      </w:r>
      <w:r>
        <w:rPr>
          <w:rFonts w:hint="eastAsia" w:ascii="宋体" w:hAnsi="宋体"/>
          <w:b/>
          <w:color w:val="000000" w:themeColor="text1"/>
          <w:szCs w:val="21"/>
          <w:highlight w:val="none"/>
        </w:rPr>
        <w:t>可能影响本次审核结论可靠性的因素：</w:t>
      </w:r>
      <w:r>
        <w:rPr>
          <w:rFonts w:hint="eastAsia" w:ascii="宋体" w:hAnsi="宋体"/>
          <w:b/>
          <w:color w:val="000000" w:themeColor="text1"/>
          <w:szCs w:val="21"/>
          <w:highlight w:val="none"/>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highlight w:val="none"/>
              </w:rPr>
            </w:pPr>
            <w:r>
              <w:rPr>
                <w:rFonts w:hint="eastAsia" w:ascii="宋体" w:hAnsi="宋体"/>
                <w:b/>
                <w:color w:val="000000" w:themeColor="text1"/>
                <w:szCs w:val="21"/>
                <w:highlight w:val="none"/>
              </w:rPr>
              <w:t>影响本次审核结论可靠性的因素</w:t>
            </w:r>
          </w:p>
        </w:tc>
        <w:tc>
          <w:tcPr>
            <w:tcW w:w="4819" w:type="dxa"/>
          </w:tcPr>
          <w:p>
            <w:pPr>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样本量不足</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知识产权保护</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因受审核方信息造成的日数或审核资源不足</w:t>
            </w:r>
          </w:p>
        </w:tc>
        <w:tc>
          <w:tcPr>
            <w:tcW w:w="4819" w:type="dxa"/>
          </w:tcPr>
          <w:p>
            <w:pPr>
              <w:snapToGrid w:val="0"/>
              <w:spacing w:line="360" w:lineRule="auto"/>
              <w:rPr>
                <w:rFonts w:ascii="宋体" w:hAnsi="宋体"/>
                <w:b/>
                <w:color w:val="000000" w:themeColor="text1"/>
                <w:szCs w:val="21"/>
                <w:highlight w:val="none"/>
              </w:rPr>
            </w:pPr>
          </w:p>
        </w:tc>
      </w:tr>
    </w:tbl>
    <w:p>
      <w:pPr>
        <w:snapToGrid w:val="0"/>
        <w:spacing w:line="360" w:lineRule="auto"/>
        <w:ind w:left="-191" w:leftChars="-337" w:hanging="517" w:hangingChars="271"/>
        <w:rPr>
          <w:b/>
          <w:color w:val="000000" w:themeColor="text1"/>
          <w:spacing w:val="-10"/>
          <w:szCs w:val="21"/>
          <w:highlight w:val="red"/>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66" w:leftChars="-337" w:hanging="542" w:hangingChars="271"/>
        <w:rPr>
          <w:rFonts w:ascii="宋体" w:hAnsi="宋体"/>
          <w:b/>
          <w:color w:val="000000" w:themeColor="text1"/>
          <w:szCs w:val="21"/>
        </w:rPr>
      </w:pPr>
      <w:r>
        <w:rPr>
          <w:rFonts w:hint="eastAsia"/>
          <w:sz w:val="20"/>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sz w:val="20"/>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sz w:val="20"/>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sz w:val="20"/>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bCs/>
                <w:color w:val="000000" w:themeColor="text1"/>
                <w:u w:val="single"/>
                <w:lang w:eastAsia="zh-CN"/>
              </w:rPr>
            </w:pPr>
            <w:r>
              <w:rPr>
                <w:rFonts w:ascii="宋体" w:hAnsi="宋体"/>
                <w:b/>
                <w:color w:val="000000" w:themeColor="text1"/>
              </w:rPr>
              <w:t>QMS:</w:t>
            </w:r>
            <w:r>
              <w:rPr>
                <w:b/>
                <w:bCs/>
                <w:sz w:val="20"/>
              </w:rPr>
              <w:t>计算机应用软件的开发及服务；电力系统智能输变信息、配电信息、用电信息采集用控制模块的设计、生产、销售及服务（涉及资质许可除外）</w:t>
            </w:r>
            <w:r>
              <w:rPr>
                <w:rFonts w:hint="eastAsia"/>
                <w:b/>
                <w:bCs/>
                <w:sz w:val="20"/>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sz w:val="20"/>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sz w:val="20"/>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bookmarkStart w:id="23" w:name="_GoBack"/>
      <w:bookmarkEnd w:id="23"/>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lang w:eastAsia="zh-CN"/>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9162A"/>
    <w:multiLevelType w:val="singleLevel"/>
    <w:tmpl w:val="90C9162A"/>
    <w:lvl w:ilvl="0" w:tentative="0">
      <w:start w:val="9"/>
      <w:numFmt w:val="decimal"/>
      <w:suff w:val="space"/>
      <w:lvlText w:val="%1."/>
      <w:lvlJc w:val="left"/>
    </w:lvl>
  </w:abstractNum>
  <w:abstractNum w:abstractNumId="1">
    <w:nsid w:val="20E0B3F7"/>
    <w:multiLevelType w:val="singleLevel"/>
    <w:tmpl w:val="20E0B3F7"/>
    <w:lvl w:ilvl="0" w:tentative="0">
      <w:start w:val="2"/>
      <w:numFmt w:val="decimal"/>
      <w:suff w:val="nothing"/>
      <w:lvlText w:val="%1、"/>
      <w:lvlJc w:val="left"/>
    </w:lvl>
  </w:abstractNum>
  <w:abstractNum w:abstractNumId="2">
    <w:nsid w:val="258C2759"/>
    <w:multiLevelType w:val="singleLevel"/>
    <w:tmpl w:val="258C2759"/>
    <w:lvl w:ilvl="0" w:tentative="0">
      <w:start w:val="5"/>
      <w:numFmt w:val="decimal"/>
      <w:suff w:val="space"/>
      <w:lvlText w:val="%1."/>
      <w:lvlJc w:val="left"/>
    </w:lvl>
  </w:abstractNum>
  <w:abstractNum w:abstractNumId="3">
    <w:nsid w:val="47F560E1"/>
    <w:multiLevelType w:val="singleLevel"/>
    <w:tmpl w:val="47F560E1"/>
    <w:lvl w:ilvl="0" w:tentative="0">
      <w:start w:val="4"/>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243E2"/>
    <w:rsid w:val="04520928"/>
    <w:rsid w:val="07077998"/>
    <w:rsid w:val="176543D0"/>
    <w:rsid w:val="26851BFC"/>
    <w:rsid w:val="2A1E3997"/>
    <w:rsid w:val="2ED333F5"/>
    <w:rsid w:val="35DE3CF3"/>
    <w:rsid w:val="5C656806"/>
    <w:rsid w:val="650A4E9C"/>
    <w:rsid w:val="69127402"/>
    <w:rsid w:val="734E3CC4"/>
    <w:rsid w:val="78F4656D"/>
    <w:rsid w:val="794E65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2020-09-29T06:48:30Z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