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受审核部门：管理层、</w:t>
      </w:r>
      <w:r>
        <w:rPr>
          <w:rFonts w:hint="eastAsia" w:ascii="Times New Roman" w:hAnsi="Times New Roman" w:cs="Times New Roman"/>
          <w:sz w:val="24"/>
          <w:szCs w:val="24"/>
          <w:lang w:eastAsia="zh-CN"/>
        </w:rPr>
        <w:t>行政</w:t>
      </w:r>
      <w:r>
        <w:rPr>
          <w:rFonts w:hint="eastAsia" w:ascii="Times New Roman" w:hAnsi="Times New Roman" w:cs="Times New Roman"/>
          <w:sz w:val="24"/>
          <w:szCs w:val="24"/>
        </w:rPr>
        <w:t>部、</w:t>
      </w:r>
      <w:r>
        <w:rPr>
          <w:rFonts w:hint="eastAsia" w:ascii="Times New Roman" w:hAnsi="Times New Roman" w:cs="Times New Roman"/>
          <w:sz w:val="24"/>
          <w:szCs w:val="24"/>
          <w:lang w:eastAsia="zh-CN"/>
        </w:rPr>
        <w:t>研发部</w:t>
      </w:r>
      <w:r>
        <w:rPr>
          <w:rFonts w:hint="eastAsia" w:ascii="Times New Roman" w:hAnsi="Times New Roman" w:cs="Times New Roman"/>
          <w:sz w:val="24"/>
          <w:szCs w:val="24"/>
        </w:rPr>
        <w:t>、</w:t>
      </w:r>
      <w:r>
        <w:rPr>
          <w:rFonts w:hint="eastAsia" w:ascii="Times New Roman" w:hAnsi="Times New Roman" w:cs="Times New Roman"/>
          <w:sz w:val="24"/>
          <w:szCs w:val="24"/>
          <w:lang w:eastAsia="zh-CN"/>
        </w:rPr>
        <w:t>市场部</w:t>
      </w:r>
      <w:r>
        <w:rPr>
          <w:rFonts w:hint="eastAsia"/>
          <w:sz w:val="24"/>
          <w:szCs w:val="24"/>
          <w:lang w:val="en-US" w:eastAsia="zh-CN"/>
        </w:rPr>
        <w:t xml:space="preserve">    </w:t>
      </w:r>
    </w:p>
    <w:p>
      <w:pPr>
        <w:spacing w:line="480" w:lineRule="exact"/>
        <w:jc w:val="left"/>
        <w:rPr>
          <w:rFonts w:hint="eastAsia"/>
          <w:sz w:val="24"/>
          <w:szCs w:val="24"/>
        </w:rPr>
      </w:pPr>
      <w:r>
        <w:rPr>
          <w:rFonts w:hint="eastAsia"/>
          <w:sz w:val="24"/>
          <w:szCs w:val="24"/>
        </w:rPr>
        <w:t>陪同人员：</w:t>
      </w:r>
      <w:r>
        <w:rPr>
          <w:rFonts w:hint="eastAsia"/>
          <w:sz w:val="24"/>
          <w:szCs w:val="24"/>
          <w:lang w:eastAsia="zh-CN"/>
        </w:rPr>
        <w:t>朱晓寒</w:t>
      </w:r>
      <w:r>
        <w:rPr>
          <w:rFonts w:hint="eastAsia"/>
          <w:sz w:val="24"/>
          <w:szCs w:val="24"/>
          <w:lang w:val="en-US" w:eastAsia="zh-CN"/>
        </w:rPr>
        <w:t xml:space="preserve">   </w:t>
      </w:r>
      <w:r>
        <w:rPr>
          <w:rFonts w:hint="eastAsia"/>
          <w:sz w:val="24"/>
          <w:szCs w:val="24"/>
        </w:rPr>
        <w:t>审核员：</w:t>
      </w:r>
      <w:r>
        <w:rPr>
          <w:rFonts w:hint="eastAsia"/>
          <w:sz w:val="24"/>
          <w:szCs w:val="24"/>
          <w:lang w:val="en-US" w:eastAsia="zh-CN"/>
        </w:rPr>
        <w:t xml:space="preserve">杨珍全、宋明珠 ，   </w:t>
      </w:r>
      <w:r>
        <w:rPr>
          <w:rFonts w:hint="eastAsia"/>
          <w:sz w:val="24"/>
          <w:szCs w:val="24"/>
        </w:rPr>
        <w:t>审核时间：2020年</w:t>
      </w:r>
      <w:r>
        <w:rPr>
          <w:rFonts w:hint="eastAsia"/>
          <w:sz w:val="24"/>
          <w:szCs w:val="24"/>
          <w:lang w:val="en-US" w:eastAsia="zh-CN"/>
        </w:rPr>
        <w:t>9</w:t>
      </w:r>
      <w:r>
        <w:rPr>
          <w:rFonts w:hint="eastAsia"/>
          <w:sz w:val="24"/>
          <w:szCs w:val="24"/>
        </w:rPr>
        <w:t>月</w:t>
      </w:r>
      <w:r>
        <w:rPr>
          <w:rFonts w:hint="eastAsia"/>
          <w:sz w:val="24"/>
          <w:szCs w:val="24"/>
          <w:lang w:val="en-US" w:eastAsia="zh-CN"/>
        </w:rPr>
        <w:t>28</w:t>
      </w:r>
      <w:r>
        <w:rPr>
          <w:rFonts w:hint="eastAsia"/>
          <w:sz w:val="24"/>
          <w:szCs w:val="24"/>
        </w:rPr>
        <w:t>日</w:t>
      </w:r>
      <w:r>
        <w:rPr>
          <w:rFonts w:hint="eastAsia"/>
          <w:sz w:val="24"/>
          <w:szCs w:val="24"/>
          <w:lang w:val="en-US" w:eastAsia="zh-CN"/>
        </w:rPr>
        <w:t xml:space="preserve">    </w:t>
      </w:r>
    </w:p>
    <w:tbl>
      <w:tblPr>
        <w:tblStyle w:val="9"/>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579"/>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hint="eastAsia" w:ascii="楷体_GB2312" w:hAnsi="宋体" w:eastAsia="楷体_GB2312"/>
                <w:sz w:val="21"/>
                <w:szCs w:val="21"/>
                <w:lang w:eastAsia="zh-CN"/>
              </w:rPr>
            </w:pPr>
            <w:r>
              <w:rPr>
                <w:rFonts w:hint="eastAsia" w:ascii="宋体" w:hAnsi="宋体" w:eastAsia="楷体_GB2312"/>
                <w:sz w:val="21"/>
                <w:szCs w:val="21"/>
                <w:lang w:eastAsia="zh-CN"/>
              </w:rPr>
              <w:t>审核员</w:t>
            </w:r>
          </w:p>
        </w:tc>
        <w:tc>
          <w:tcPr>
            <w:tcW w:w="9261" w:type="dxa"/>
            <w:shd w:val="clear" w:color="auto" w:fill="E6E6E6"/>
            <w:noWrap w:val="0"/>
            <w:vAlign w:val="center"/>
          </w:tcPr>
          <w:p>
            <w:pPr>
              <w:spacing w:line="0" w:lineRule="atLeast"/>
              <w:jc w:val="center"/>
              <w:rPr>
                <w:rFonts w:hint="default" w:ascii="楷体_GB2312" w:hAnsi="宋体" w:eastAsia="楷体_GB2312"/>
                <w:sz w:val="21"/>
                <w:szCs w:val="21"/>
                <w:lang w:val="en-US" w:eastAsia="zh-CN"/>
              </w:rPr>
            </w:pPr>
            <w:r>
              <w:rPr>
                <w:rFonts w:hint="eastAsia" w:ascii="楷体_GB2312" w:hAnsi="宋体" w:eastAsia="楷体_GB2312"/>
                <w:sz w:val="21"/>
                <w:szCs w:val="21"/>
                <w:lang w:val="en-US" w:eastAsia="zh-CN"/>
              </w:rPr>
              <w:t>宋明珠</w:t>
            </w:r>
          </w:p>
        </w:tc>
        <w:tc>
          <w:tcPr>
            <w:tcW w:w="1579" w:type="dxa"/>
            <w:shd w:val="clear" w:color="auto" w:fill="E6E6E6"/>
            <w:noWrap w:val="0"/>
            <w:vAlign w:val="center"/>
          </w:tcPr>
          <w:p>
            <w:pPr>
              <w:spacing w:line="0" w:lineRule="atLeast"/>
              <w:jc w:val="center"/>
              <w:rPr>
                <w:rFonts w:ascii="楷体_GB2312" w:hAnsi="宋体" w:eastAsia="楷体_GB2312"/>
                <w:sz w:val="21"/>
                <w:szCs w:val="21"/>
              </w:rPr>
            </w:pPr>
          </w:p>
        </w:tc>
        <w:tc>
          <w:tcPr>
            <w:tcW w:w="776" w:type="dxa"/>
            <w:shd w:val="clear" w:color="auto" w:fill="E6E6E6"/>
            <w:noWrap w:val="0"/>
            <w:vAlign w:val="center"/>
          </w:tcPr>
          <w:p>
            <w:pPr>
              <w:spacing w:line="0" w:lineRule="atLeast"/>
              <w:jc w:val="center"/>
              <w:rPr>
                <w:rFonts w:ascii="楷体_GB2312" w:hAnsi="宋体"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审   核   记   录</w:t>
            </w:r>
          </w:p>
        </w:tc>
        <w:tc>
          <w:tcPr>
            <w:tcW w:w="1579"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条款号</w:t>
            </w:r>
          </w:p>
        </w:tc>
        <w:tc>
          <w:tcPr>
            <w:tcW w:w="776"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276" w:lineRule="auto"/>
              <w:ind w:firstLine="420" w:firstLineChars="200"/>
              <w:jc w:val="left"/>
              <w:rPr>
                <w:rFonts w:hint="eastAsia" w:ascii="宋体" w:hAnsi="宋体" w:cs="宋体"/>
                <w:sz w:val="21"/>
                <w:szCs w:val="21"/>
                <w:lang w:eastAsia="zh-CN"/>
              </w:rPr>
            </w:pPr>
            <w:r>
              <w:rPr>
                <w:rFonts w:hint="eastAsia"/>
                <w:szCs w:val="21"/>
                <w:lang w:eastAsia="zh-CN"/>
              </w:rPr>
              <w:t>成都汉度科技有限公司是一家创新的电力科技公司，坐落于成都国家级软件开发区，致力于国家电网智能配网综合管理平台系统以及相关智能配网设备的开发、生产与销售。司组建了“智能配网系统研发部门”、“软件测试及模拟部门”、“智能配网设备预研部门”等研发能力中心，并对国内外先进的电力新技术及其发展趋势做了深入的分析，为保证公司产品的先进性以及更好的服务于电力客户打下了坚实的基础。</w:t>
            </w:r>
            <w:r>
              <w:rPr>
                <w:rFonts w:hint="eastAsia"/>
                <w:szCs w:val="21"/>
                <w:lang w:val="en-US" w:eastAsia="zh-CN"/>
              </w:rPr>
              <w:t>现有员工38人，目前</w:t>
            </w:r>
            <w:r>
              <w:rPr>
                <w:rFonts w:hint="eastAsia" w:ascii="宋体" w:hAnsi="宋体" w:cs="宋体"/>
                <w:sz w:val="21"/>
                <w:szCs w:val="21"/>
                <w:lang w:eastAsia="zh-CN"/>
              </w:rPr>
              <w:t>公司经营状况良好。</w:t>
            </w:r>
          </w:p>
          <w:p>
            <w:pPr>
              <w:spacing w:line="400" w:lineRule="exact"/>
              <w:ind w:firstLine="420" w:firstLineChars="200"/>
              <w:jc w:val="left"/>
              <w:rPr>
                <w:rFonts w:hint="default" w:ascii="宋体" w:hAnsi="宋体"/>
                <w:szCs w:val="21"/>
                <w:lang w:val="en-US"/>
              </w:rPr>
            </w:pPr>
            <w:r>
              <w:rPr>
                <w:rFonts w:hint="eastAsia" w:ascii="宋体" w:hAnsi="宋体"/>
                <w:szCs w:val="21"/>
              </w:rPr>
              <w:t>该公司目前成立了</w:t>
            </w:r>
            <w:r>
              <w:rPr>
                <w:rFonts w:hint="eastAsia" w:ascii="宋体" w:hAnsi="宋体"/>
                <w:szCs w:val="21"/>
                <w:lang w:val="en-US" w:eastAsia="zh-CN"/>
              </w:rPr>
              <w:t>四</w:t>
            </w:r>
            <w:r>
              <w:rPr>
                <w:rFonts w:hint="eastAsia" w:ascii="宋体" w:hAnsi="宋体"/>
                <w:szCs w:val="21"/>
              </w:rPr>
              <w:t>个部门：</w:t>
            </w:r>
            <w:r>
              <w:rPr>
                <w:rFonts w:hint="eastAsia" w:ascii="宋体" w:hAnsi="宋体"/>
                <w:szCs w:val="21"/>
                <w:lang w:eastAsia="zh-CN"/>
              </w:rPr>
              <w:t>行政部、研发部、市场部、财务部。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76" w:lineRule="auto"/>
              <w:jc w:val="left"/>
              <w:rPr>
                <w:rFonts w:hint="eastAsia" w:ascii="宋体" w:hAnsi="宋体" w:cs="宋体"/>
                <w:sz w:val="21"/>
                <w:szCs w:val="21"/>
              </w:rPr>
            </w:pPr>
            <w:r>
              <w:rPr>
                <w:rFonts w:hint="eastAsia" w:ascii="宋体" w:hAnsi="宋体"/>
                <w:szCs w:val="21"/>
              </w:rPr>
              <w:t>经</w:t>
            </w:r>
            <w:r>
              <w:rPr>
                <w:rFonts w:hint="eastAsia" w:ascii="宋体" w:hAnsi="宋体"/>
                <w:szCs w:val="21"/>
                <w:lang w:eastAsia="zh-CN"/>
              </w:rPr>
              <w:t>现场</w:t>
            </w:r>
            <w:r>
              <w:rPr>
                <w:rFonts w:hint="eastAsia" w:ascii="宋体" w:hAnsi="宋体"/>
                <w:szCs w:val="21"/>
              </w:rPr>
              <w:t>审核核实：</w:t>
            </w:r>
            <w:r>
              <w:rPr>
                <w:rFonts w:hint="eastAsia" w:ascii="宋体" w:hAnsi="宋体" w:cs="宋体"/>
                <w:sz w:val="21"/>
                <w:szCs w:val="21"/>
              </w:rPr>
              <w:t>核实：</w:t>
            </w:r>
            <w:bookmarkStart w:id="0" w:name="生产地址"/>
            <w:r>
              <w:rPr>
                <w:rFonts w:hint="eastAsia" w:ascii="宋体" w:hAnsi="宋体" w:cs="宋体"/>
                <w:sz w:val="21"/>
                <w:szCs w:val="21"/>
              </w:rPr>
              <w:t>成都市高新区天府大道北段1480号孵化园5号楼105、107</w:t>
            </w:r>
            <w:bookmarkEnd w:id="0"/>
            <w:r>
              <w:rPr>
                <w:rFonts w:hint="eastAsia" w:ascii="宋体" w:hAnsi="宋体" w:cs="宋体"/>
                <w:sz w:val="21"/>
                <w:szCs w:val="21"/>
              </w:rPr>
              <w:t>，与任务书一致。</w:t>
            </w:r>
          </w:p>
          <w:p>
            <w:pPr>
              <w:spacing w:line="276" w:lineRule="auto"/>
              <w:jc w:val="left"/>
              <w:rPr>
                <w:rFonts w:hint="eastAsia" w:ascii="宋体" w:hAnsi="宋体" w:cs="宋体"/>
                <w:sz w:val="21"/>
                <w:szCs w:val="21"/>
                <w:lang w:eastAsia="zh-CN"/>
              </w:rPr>
            </w:pPr>
            <w:r>
              <w:rPr>
                <w:rFonts w:hint="eastAsia" w:ascii="宋体" w:hAnsi="宋体" w:cs="宋体"/>
                <w:sz w:val="21"/>
                <w:szCs w:val="21"/>
              </w:rPr>
              <w:t>经确认认证范围为：</w:t>
            </w:r>
            <w:bookmarkStart w:id="1" w:name="审核范围"/>
            <w:r>
              <w:t>计算机应用软件的开发及服务；电力系统智能输变信息、配电信息、用电信息采集用控制模块的设计、生产、销售及服务（涉及资质许可除外）</w:t>
            </w:r>
            <w:bookmarkEnd w:id="1"/>
            <w:r>
              <w:rPr>
                <w:rFonts w:hint="eastAsia" w:ascii="宋体" w:hAnsi="宋体" w:cs="宋体"/>
                <w:sz w:val="21"/>
                <w:szCs w:val="21"/>
                <w:lang w:eastAsia="zh-CN"/>
              </w:rPr>
              <w:t>。</w:t>
            </w:r>
          </w:p>
          <w:p>
            <w:pPr>
              <w:spacing w:line="276" w:lineRule="auto"/>
              <w:jc w:val="left"/>
              <w:rPr>
                <w:rFonts w:hint="default" w:ascii="Times New Roman" w:hAnsi="Times New Roman" w:cs="Times New Roman"/>
                <w:szCs w:val="22"/>
                <w:lang w:val="en-US" w:eastAsia="zh-CN"/>
              </w:rPr>
            </w:pPr>
            <w:r>
              <w:rPr>
                <w:rFonts w:hint="eastAsia" w:cs="Times New Roman"/>
                <w:szCs w:val="22"/>
                <w:lang w:val="en-US" w:eastAsia="zh-CN"/>
              </w:rPr>
              <w:t>关键过程：</w:t>
            </w:r>
            <w:r>
              <w:rPr>
                <w:rFonts w:hint="eastAsia" w:ascii="Times New Roman" w:hAnsi="Times New Roman" w:cs="Times New Roman"/>
                <w:szCs w:val="22"/>
                <w:lang w:val="en-US" w:eastAsia="zh-CN"/>
              </w:rPr>
              <w:t>设计研发</w:t>
            </w:r>
            <w:r>
              <w:rPr>
                <w:rFonts w:hint="eastAsia" w:cs="Times New Roman"/>
                <w:szCs w:val="22"/>
                <w:lang w:val="en-US" w:eastAsia="zh-CN"/>
              </w:rPr>
              <w:t>、组织、检测、老化、销售</w:t>
            </w:r>
            <w:r>
              <w:rPr>
                <w:rFonts w:hint="eastAsia" w:ascii="Times New Roman" w:hAnsi="Times New Roman" w:cs="Times New Roman"/>
                <w:szCs w:val="22"/>
                <w:lang w:val="en-US" w:eastAsia="zh-CN"/>
              </w:rPr>
              <w:t>过程</w:t>
            </w:r>
            <w:r>
              <w:rPr>
                <w:rFonts w:hint="eastAsia" w:cs="Times New Roman"/>
                <w:szCs w:val="22"/>
                <w:lang w:val="en-US" w:eastAsia="zh-CN"/>
              </w:rPr>
              <w:t>，需确认过程有：</w:t>
            </w:r>
            <w:r>
              <w:rPr>
                <w:rFonts w:hint="eastAsia" w:ascii="Times New Roman" w:hAnsi="Times New Roman" w:cs="Times New Roman"/>
                <w:szCs w:val="22"/>
                <w:lang w:val="en-US" w:eastAsia="zh-CN"/>
              </w:rPr>
              <w:t>设计研发</w:t>
            </w:r>
            <w:r>
              <w:rPr>
                <w:rFonts w:hint="eastAsia" w:cs="Times New Roman"/>
                <w:szCs w:val="22"/>
                <w:lang w:val="en-US" w:eastAsia="zh-CN"/>
              </w:rPr>
              <w:t>、老化、销售</w:t>
            </w:r>
            <w:r>
              <w:rPr>
                <w:rFonts w:hint="eastAsia" w:ascii="Times New Roman" w:hAnsi="Times New Roman" w:cs="Times New Roman"/>
                <w:szCs w:val="22"/>
                <w:lang w:val="en-US" w:eastAsia="zh-CN"/>
              </w:rPr>
              <w:t>过程</w:t>
            </w:r>
            <w:r>
              <w:rPr>
                <w:rFonts w:hint="eastAsia" w:cs="Times New Roman"/>
                <w:szCs w:val="22"/>
                <w:lang w:val="en-US" w:eastAsia="zh-CN"/>
              </w:rPr>
              <w:t>。</w:t>
            </w:r>
          </w:p>
          <w:p>
            <w:pPr>
              <w:spacing w:line="276" w:lineRule="auto"/>
              <w:jc w:val="left"/>
              <w:rPr>
                <w:rFonts w:hint="eastAsia" w:ascii="宋体" w:hAnsi="宋体" w:cs="宋体"/>
                <w:sz w:val="21"/>
                <w:szCs w:val="21"/>
                <w:lang w:eastAsia="zh-CN"/>
              </w:rPr>
            </w:pPr>
            <w:r>
              <w:rPr>
                <w:rFonts w:hint="eastAsia" w:ascii="宋体" w:hAnsi="宋体" w:cs="宋体"/>
                <w:sz w:val="21"/>
                <w:szCs w:val="21"/>
                <w:lang w:eastAsia="zh-CN"/>
              </w:rPr>
              <w:t>外包过程：无</w:t>
            </w:r>
          </w:p>
          <w:p>
            <w:pPr>
              <w:spacing w:line="276" w:lineRule="auto"/>
              <w:jc w:val="left"/>
              <w:rPr>
                <w:rFonts w:hint="eastAsia" w:ascii="宋体" w:hAnsi="宋体" w:cs="宋体"/>
                <w:sz w:val="21"/>
                <w:szCs w:val="21"/>
              </w:rPr>
            </w:pPr>
            <w:r>
              <w:rPr>
                <w:rFonts w:hint="eastAsia" w:ascii="宋体" w:hAnsi="宋体" w:cs="宋体"/>
                <w:sz w:val="21"/>
                <w:szCs w:val="21"/>
              </w:rPr>
              <w:t>管理体系运行时间：20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2</w:t>
            </w:r>
            <w:r>
              <w:rPr>
                <w:rFonts w:hint="eastAsia" w:ascii="宋体" w:hAnsi="宋体" w:cs="宋体"/>
                <w:sz w:val="21"/>
                <w:szCs w:val="21"/>
              </w:rPr>
              <w:t>日。</w:t>
            </w:r>
          </w:p>
          <w:p>
            <w:pPr>
              <w:spacing w:line="276" w:lineRule="auto"/>
              <w:jc w:val="left"/>
              <w:rPr>
                <w:rFonts w:hint="eastAsia" w:ascii="宋体" w:hAnsi="宋体" w:cs="宋体"/>
                <w:sz w:val="21"/>
                <w:szCs w:val="21"/>
                <w:lang w:eastAsia="zh-CN"/>
              </w:rPr>
            </w:pPr>
            <w:r>
              <w:rPr>
                <w:rFonts w:hint="eastAsia" w:ascii="宋体" w:hAnsi="宋体" w:cs="宋体"/>
                <w:sz w:val="21"/>
                <w:szCs w:val="21"/>
              </w:rPr>
              <w:t>组织实际与管理体系文件化信息描述基本一致。有管理层、</w:t>
            </w:r>
            <w:r>
              <w:rPr>
                <w:rFonts w:hint="eastAsia" w:ascii="宋体" w:hAnsi="宋体" w:cs="宋体"/>
                <w:sz w:val="21"/>
                <w:szCs w:val="21"/>
                <w:lang w:eastAsia="zh-CN"/>
              </w:rPr>
              <w:t>行政</w:t>
            </w:r>
            <w:r>
              <w:rPr>
                <w:rFonts w:hint="eastAsia" w:ascii="宋体" w:hAnsi="宋体" w:cs="宋体"/>
                <w:sz w:val="21"/>
                <w:szCs w:val="21"/>
              </w:rPr>
              <w:t>部、</w:t>
            </w:r>
            <w:r>
              <w:rPr>
                <w:rFonts w:hint="eastAsia" w:ascii="宋体" w:hAnsi="宋体" w:cs="宋体"/>
                <w:sz w:val="21"/>
                <w:szCs w:val="21"/>
                <w:lang w:eastAsia="zh-CN"/>
              </w:rPr>
              <w:t>研发部</w:t>
            </w:r>
            <w:r>
              <w:rPr>
                <w:rFonts w:hint="eastAsia" w:ascii="宋体" w:hAnsi="宋体" w:cs="宋体"/>
                <w:sz w:val="21"/>
                <w:szCs w:val="21"/>
              </w:rPr>
              <w:t>、</w:t>
            </w:r>
            <w:r>
              <w:rPr>
                <w:rFonts w:hint="eastAsia" w:ascii="宋体" w:hAnsi="宋体" w:cs="宋体"/>
                <w:sz w:val="21"/>
                <w:szCs w:val="21"/>
                <w:lang w:eastAsia="zh-CN"/>
              </w:rPr>
              <w:t>市场部、</w:t>
            </w:r>
            <w:r>
              <w:rPr>
                <w:rFonts w:hint="eastAsia" w:ascii="宋体" w:hAnsi="宋体" w:cs="宋体"/>
                <w:sz w:val="21"/>
                <w:szCs w:val="21"/>
                <w:lang w:val="en-US" w:eastAsia="zh-CN"/>
              </w:rPr>
              <w:t>财务部</w:t>
            </w:r>
            <w:r>
              <w:rPr>
                <w:rFonts w:hint="eastAsia" w:ascii="宋体" w:hAnsi="宋体" w:cs="宋体"/>
                <w:sz w:val="21"/>
                <w:szCs w:val="21"/>
                <w:lang w:eastAsia="zh-CN"/>
              </w:rPr>
              <w:t>。</w:t>
            </w:r>
          </w:p>
          <w:p>
            <w:pPr>
              <w:spacing w:line="276" w:lineRule="auto"/>
              <w:jc w:val="left"/>
              <w:rPr>
                <w:rFonts w:hint="eastAsia" w:ascii="宋体" w:hAnsi="宋体" w:cs="宋体"/>
                <w:sz w:val="21"/>
                <w:szCs w:val="21"/>
              </w:rPr>
            </w:pPr>
            <w:r>
              <w:rPr>
                <w:rFonts w:hint="eastAsia" w:ascii="宋体" w:hAnsi="宋体" w:cs="宋体"/>
                <w:sz w:val="21"/>
                <w:szCs w:val="21"/>
              </w:rPr>
              <w:t>产品流程见《工艺流程</w:t>
            </w:r>
            <w:r>
              <w:rPr>
                <w:rFonts w:hint="eastAsia" w:ascii="宋体" w:hAnsi="宋体" w:cs="宋体"/>
                <w:sz w:val="21"/>
                <w:szCs w:val="21"/>
                <w:lang w:val="en-US" w:eastAsia="zh-CN"/>
              </w:rPr>
              <w:t>图</w:t>
            </w:r>
            <w:r>
              <w:rPr>
                <w:rFonts w:hint="eastAsia" w:ascii="宋体" w:hAnsi="宋体" w:cs="宋体"/>
                <w:sz w:val="21"/>
                <w:szCs w:val="21"/>
              </w:rPr>
              <w:t>》</w:t>
            </w:r>
          </w:p>
          <w:p>
            <w:pPr>
              <w:spacing w:line="400" w:lineRule="exact"/>
              <w:ind w:firstLine="420" w:firstLineChars="200"/>
              <w:rPr>
                <w:rFonts w:hint="eastAsia" w:ascii="宋体" w:hAnsi="宋体"/>
                <w:sz w:val="21"/>
                <w:szCs w:val="21"/>
              </w:rPr>
            </w:pPr>
            <w:r>
              <w:rPr>
                <w:rFonts w:hint="eastAsia" w:ascii="宋体" w:hAnsi="宋体" w:cs="宋体"/>
                <w:sz w:val="21"/>
                <w:szCs w:val="21"/>
              </w:rPr>
              <w:t>查，管理体系文件名称：质量手册，程序文件</w:t>
            </w:r>
            <w:r>
              <w:rPr>
                <w:rFonts w:hint="eastAsia" w:ascii="宋体" w:hAnsi="宋体" w:cs="宋体"/>
                <w:sz w:val="21"/>
                <w:szCs w:val="21"/>
                <w:lang w:val="en-US" w:eastAsia="zh-CN"/>
              </w:rPr>
              <w:t>42个</w:t>
            </w:r>
            <w:r>
              <w:rPr>
                <w:rFonts w:hint="eastAsia" w:ascii="宋体" w:hAnsi="宋体"/>
                <w:kern w:val="44"/>
                <w:szCs w:val="21"/>
              </w:rPr>
              <w:t>（按质量、环境和职业健康安全一起策划的）</w:t>
            </w:r>
            <w:r>
              <w:rPr>
                <w:rFonts w:hint="eastAsia" w:ascii="宋体" w:hAnsi="宋体" w:cs="宋体"/>
                <w:sz w:val="21"/>
                <w:szCs w:val="21"/>
              </w:rPr>
              <w:t>。</w:t>
            </w:r>
          </w:p>
        </w:tc>
        <w:tc>
          <w:tcPr>
            <w:tcW w:w="1579" w:type="dxa"/>
            <w:noWrap w:val="0"/>
            <w:vAlign w:val="top"/>
          </w:tcPr>
          <w:p>
            <w:pPr>
              <w:adjustRightInd w:val="0"/>
              <w:snapToGrid w:val="0"/>
              <w:rPr>
                <w:rFonts w:ascii="宋体" w:hAnsi="宋体" w:cs="宋体"/>
                <w:color w:val="auto"/>
                <w:szCs w:val="21"/>
                <w:highlight w:val="none"/>
              </w:rPr>
            </w:pPr>
            <w:r>
              <w:rPr>
                <w:rFonts w:hint="eastAsia" w:ascii="宋体" w:hAnsi="宋体"/>
                <w:color w:val="auto"/>
                <w:szCs w:val="21"/>
                <w:highlight w:val="none"/>
              </w:rPr>
              <w:t>Q:</w:t>
            </w:r>
            <w:r>
              <w:rPr>
                <w:rFonts w:hint="eastAsia" w:ascii="宋体" w:hAnsi="宋体" w:cs="宋体"/>
                <w:color w:val="auto"/>
                <w:szCs w:val="21"/>
                <w:highlight w:val="none"/>
              </w:rPr>
              <w:t>4.1;4.2;4.3;4.4</w:t>
            </w: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ascii="宋体" w:hAnsi="宋体" w:eastAsia="宋体" w:cs="Times New Roman"/>
                <w:color w:val="auto"/>
                <w:kern w:val="2"/>
                <w:sz w:val="21"/>
                <w:szCs w:val="21"/>
                <w:highlight w:val="none"/>
                <w:lang w:val="en-US" w:eastAsia="zh-CN" w:bidi="ar-SA"/>
              </w:rPr>
            </w:pPr>
          </w:p>
        </w:tc>
        <w:tc>
          <w:tcPr>
            <w:tcW w:w="776" w:type="dxa"/>
            <w:noWrap w:val="0"/>
            <w:vAlign w:val="top"/>
          </w:tcPr>
          <w:p>
            <w:pPr>
              <w:spacing w:line="4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符合</w:t>
            </w: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687" w:type="dxa"/>
            <w:noWrap w:val="0"/>
            <w:vAlign w:val="top"/>
          </w:tcPr>
          <w:p>
            <w:pPr>
              <w:spacing w:line="400" w:lineRule="exact"/>
              <w:rPr>
                <w:szCs w:val="21"/>
              </w:rPr>
            </w:pPr>
            <w:r>
              <w:rPr>
                <w:rFonts w:hint="eastAsia"/>
                <w:szCs w:val="21"/>
              </w:rPr>
              <w:t>生产工艺</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不适用条款的确认</w:t>
            </w:r>
          </w:p>
          <w:p>
            <w:pPr>
              <w:spacing w:line="400" w:lineRule="exact"/>
              <w:rPr>
                <w:rFonts w:hint="eastAsia"/>
                <w:szCs w:val="21"/>
              </w:rPr>
            </w:pPr>
          </w:p>
          <w:p>
            <w:pPr>
              <w:spacing w:line="400" w:lineRule="exact"/>
              <w:rPr>
                <w:rFonts w:hint="eastAsia"/>
                <w:szCs w:val="21"/>
              </w:rPr>
            </w:pPr>
            <w:r>
              <w:rPr>
                <w:rFonts w:hint="eastAsia"/>
                <w:szCs w:val="21"/>
              </w:rPr>
              <w:t>外包的识别</w:t>
            </w:r>
          </w:p>
          <w:p>
            <w:pPr>
              <w:pStyle w:val="3"/>
              <w:rPr>
                <w:rFonts w:hint="eastAsia"/>
              </w:rPr>
            </w:pPr>
          </w:p>
          <w:p>
            <w:pPr>
              <w:pStyle w:val="3"/>
            </w:pPr>
            <w:r>
              <w:rPr>
                <w:rFonts w:hint="eastAsia" w:ascii="宋体" w:hAnsi="宋体" w:cs="宋体"/>
                <w:color w:val="000000"/>
                <w:szCs w:val="24"/>
              </w:rPr>
              <w:t>质量</w:t>
            </w:r>
            <w:r>
              <w:rPr>
                <w:rFonts w:hint="eastAsia" w:ascii="宋体" w:hAnsi="宋体" w:cs="宋体"/>
                <w:color w:val="000000"/>
                <w:szCs w:val="24"/>
                <w:lang w:eastAsia="zh-CN"/>
              </w:rPr>
              <w:t>、</w:t>
            </w:r>
            <w:r>
              <w:rPr>
                <w:rFonts w:hint="eastAsia" w:ascii="宋体" w:hAnsi="宋体" w:cs="宋体"/>
                <w:color w:val="000000"/>
                <w:szCs w:val="24"/>
                <w:lang w:val="en-US" w:eastAsia="zh-CN"/>
              </w:rPr>
              <w:t>环境和职业健康安全</w:t>
            </w:r>
            <w:r>
              <w:rPr>
                <w:rFonts w:hint="eastAsia" w:ascii="宋体" w:hAnsi="宋体" w:cs="宋体"/>
                <w:color w:val="000000"/>
                <w:szCs w:val="24"/>
              </w:rPr>
              <w:t>方针</w:t>
            </w:r>
          </w:p>
          <w:p>
            <w:pPr>
              <w:spacing w:line="400" w:lineRule="exact"/>
              <w:rPr>
                <w:rFonts w:hint="eastAsia"/>
              </w:rPr>
            </w:pPr>
            <w:r>
              <w:rPr>
                <w:rFonts w:hint="eastAsia" w:ascii="宋体" w:hAnsi="宋体"/>
                <w:sz w:val="21"/>
                <w:szCs w:val="21"/>
              </w:rPr>
              <w:t>质量目标（QMS）</w:t>
            </w:r>
          </w:p>
        </w:tc>
        <w:tc>
          <w:tcPr>
            <w:tcW w:w="9261" w:type="dxa"/>
            <w:noWrap w:val="0"/>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rPr>
            </w:pPr>
            <w:r>
              <w:rPr>
                <w:rFonts w:hint="eastAsia" w:ascii="宋体" w:hAnsi="宋体" w:cs="Times New Roman"/>
                <w:sz w:val="21"/>
                <w:szCs w:val="21"/>
              </w:rPr>
              <w:t xml:space="preserve">销售服务流程图：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sz w:val="21"/>
                <w:szCs w:val="21"/>
                <w:lang w:eastAsia="zh-CN"/>
              </w:rPr>
            </w:pPr>
            <w:r>
              <w:rPr>
                <w:rFonts w:hint="eastAsia" w:ascii="宋体" w:hAnsi="宋体" w:cs="Times New Roman"/>
                <w:sz w:val="21"/>
                <w:szCs w:val="21"/>
              </w:rPr>
              <w:t xml:space="preserve">投标/业务洽谈→签订合同→采购→物资检验→交付 </w:t>
            </w:r>
            <w:r>
              <w:rPr>
                <w:rFonts w:hint="eastAsia" w:ascii="宋体" w:hAnsi="宋体"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关键/确认过程：销售过程，也是特殊过程。</w:t>
            </w:r>
          </w:p>
          <w:p>
            <w:pPr>
              <w:pStyle w:val="3"/>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rPr>
            </w:pPr>
            <w:r>
              <w:rPr>
                <w:rFonts w:hint="eastAsia" w:ascii="宋体" w:hAnsi="宋体" w:cs="Times New Roman"/>
                <w:sz w:val="21"/>
                <w:szCs w:val="21"/>
              </w:rPr>
              <w:t>软件应用开发流程图：</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eastAsia="zh-CN"/>
              </w:rPr>
              <w:t>需求分析</w:t>
            </w:r>
            <w:r>
              <w:rPr>
                <w:rFonts w:hint="eastAsia" w:ascii="宋体" w:hAnsi="宋体" w:cs="Times New Roman"/>
                <w:sz w:val="21"/>
                <w:szCs w:val="21"/>
                <w:lang w:val="en-US" w:eastAsia="zh-CN"/>
              </w:rPr>
              <w:t>-概要设计-详细设计-编码-测试-软件交付-验收-维护</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关键/确认过程：研发设计过程。</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eastAsia="zh-CN"/>
              </w:rPr>
            </w:pPr>
            <w:r>
              <w:rPr>
                <w:rFonts w:hint="eastAsia" w:ascii="宋体" w:hAnsi="宋体" w:cs="Times New Roman"/>
                <w:sz w:val="21"/>
                <w:szCs w:val="21"/>
                <w:lang w:val="en-US" w:eastAsia="zh-CN"/>
              </w:rPr>
              <w:t>控制模块</w:t>
            </w:r>
            <w:r>
              <w:rPr>
                <w:rFonts w:hint="eastAsia" w:ascii="宋体" w:hAnsi="宋体" w:cs="Times New Roman"/>
                <w:sz w:val="21"/>
                <w:szCs w:val="21"/>
                <w:lang w:eastAsia="zh-CN"/>
              </w:rPr>
              <w:t>生产流程图：</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根据市场需求或客户要求-----下达开发任务书----编制开发计划----开发输入----开发评审----开发验证----开发输出----开发确认----备料---组装---检测（老化）----打包入库——交付</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关键工序：组装、检测、老化；确认过程：研发设计、老化过程，老化过程也是特殊过程。</w:t>
            </w:r>
          </w:p>
          <w:p>
            <w:pPr>
              <w:spacing w:line="400" w:lineRule="exact"/>
              <w:rPr>
                <w:rFonts w:hint="eastAsia"/>
                <w:lang w:eastAsia="zh-CN"/>
              </w:rPr>
            </w:pPr>
          </w:p>
          <w:p>
            <w:pPr>
              <w:spacing w:line="400" w:lineRule="exact"/>
            </w:pPr>
            <w:r>
              <w:rPr>
                <w:rFonts w:hint="eastAsia"/>
                <w:lang w:val="en-US" w:eastAsia="zh-CN"/>
              </w:rPr>
              <w:t>无</w:t>
            </w:r>
          </w:p>
          <w:p>
            <w:pPr>
              <w:pStyle w:val="3"/>
              <w:rPr>
                <w:rFonts w:hint="eastAsia"/>
                <w:szCs w:val="21"/>
                <w:lang w:val="en-US" w:eastAsia="zh-CN"/>
              </w:rPr>
            </w:pPr>
          </w:p>
          <w:p>
            <w:pPr>
              <w:pStyle w:val="3"/>
              <w:rPr>
                <w:rFonts w:hint="eastAsia"/>
                <w:szCs w:val="21"/>
                <w:lang w:val="en-US" w:eastAsia="zh-CN"/>
              </w:rPr>
            </w:pPr>
            <w:r>
              <w:rPr>
                <w:rFonts w:hint="eastAsia"/>
                <w:szCs w:val="21"/>
                <w:lang w:val="en-US" w:eastAsia="zh-CN"/>
              </w:rPr>
              <w:t>无</w:t>
            </w:r>
          </w:p>
          <w:p>
            <w:pPr>
              <w:pStyle w:val="3"/>
              <w:rPr>
                <w:rFonts w:hint="eastAsia"/>
                <w:szCs w:val="21"/>
                <w:lang w:val="en-US" w:eastAsia="zh-CN"/>
              </w:rPr>
            </w:pPr>
          </w:p>
          <w:p>
            <w:pPr>
              <w:spacing w:line="360" w:lineRule="auto"/>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“保质保量，顾客为先</w:t>
            </w:r>
            <w:r>
              <w:rPr>
                <w:rFonts w:hint="eastAsia" w:ascii="宋体" w:hAnsi="宋体" w:cs="宋体"/>
                <w:color w:val="000000"/>
                <w:szCs w:val="24"/>
                <w:lang w:val="en-US" w:eastAsia="zh-CN"/>
              </w:rPr>
              <w:t>，</w:t>
            </w:r>
            <w:r>
              <w:rPr>
                <w:rFonts w:hint="eastAsia" w:ascii="宋体" w:hAnsi="宋体" w:eastAsia="宋体" w:cs="宋体"/>
                <w:color w:val="000000"/>
                <w:szCs w:val="24"/>
                <w:lang w:eastAsia="zh-CN"/>
              </w:rPr>
              <w:t>遵纪守法，爱护环境，节能减耗，杜绝事故，消除隐患，持续改善</w:t>
            </w:r>
            <w:r>
              <w:rPr>
                <w:rFonts w:hint="eastAsia" w:ascii="宋体" w:hAnsi="宋体" w:eastAsia="宋体" w:cs="宋体"/>
                <w:color w:val="000000"/>
                <w:szCs w:val="24"/>
                <w:lang w:val="en-US"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1.设计组装合格率达到100%</w:t>
            </w:r>
            <w:bookmarkStart w:id="2" w:name="_GoBack"/>
            <w:bookmarkEnd w:id="2"/>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2.合同履约率100％</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sz w:val="21"/>
                <w:szCs w:val="21"/>
              </w:rPr>
            </w:pPr>
            <w:r>
              <w:rPr>
                <w:rFonts w:hint="eastAsia" w:ascii="宋体" w:hAnsi="宋体" w:cs="Times New Roman"/>
                <w:sz w:val="21"/>
                <w:szCs w:val="21"/>
                <w:lang w:val="en-US" w:eastAsia="zh-CN"/>
              </w:rPr>
              <w:t>3.顾客满意度≥95分</w:t>
            </w:r>
          </w:p>
        </w:tc>
        <w:tc>
          <w:tcPr>
            <w:tcW w:w="1579"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Q:5.1;6.2</w:t>
            </w:r>
          </w:p>
          <w:p>
            <w:pPr>
              <w:adjustRightInd w:val="0"/>
              <w:snapToGrid w:val="0"/>
              <w:rPr>
                <w:rFonts w:hint="eastAsia" w:ascii="宋体" w:hAnsi="宋体" w:cs="Times New Roman"/>
                <w:color w:val="auto"/>
                <w:szCs w:val="21"/>
                <w:highlight w:val="none"/>
                <w:lang w:val="en-US" w:eastAsia="zh-CN"/>
              </w:rPr>
            </w:pPr>
          </w:p>
        </w:tc>
        <w:tc>
          <w:tcPr>
            <w:tcW w:w="776"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lang w:val="en-US" w:eastAsia="zh-CN"/>
              </w:rPr>
            </w:pPr>
          </w:p>
        </w:tc>
      </w:tr>
    </w:tbl>
    <w:tbl>
      <w:tblPr>
        <w:tblStyle w:val="9"/>
        <w:tblpPr w:leftFromText="180" w:rightFromText="180" w:vertAnchor="text" w:horzAnchor="page" w:tblpX="952" w:tblpY="376"/>
        <w:tblOverlap w:val="never"/>
        <w:tblW w:w="15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567"/>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hint="eastAsia" w:ascii="楷体_GB2312" w:hAnsi="宋体" w:eastAsia="楷体_GB2312"/>
                <w:sz w:val="21"/>
                <w:szCs w:val="21"/>
                <w:lang w:eastAsia="zh-CN"/>
              </w:rPr>
            </w:pPr>
            <w:r>
              <w:rPr>
                <w:rFonts w:hint="eastAsia" w:ascii="宋体" w:hAnsi="宋体" w:eastAsia="楷体_GB2312"/>
                <w:sz w:val="21"/>
                <w:szCs w:val="21"/>
                <w:lang w:eastAsia="zh-CN"/>
              </w:rPr>
              <w:t>审核员</w:t>
            </w:r>
          </w:p>
        </w:tc>
        <w:tc>
          <w:tcPr>
            <w:tcW w:w="9261" w:type="dxa"/>
            <w:shd w:val="clear" w:color="auto" w:fill="E6E6E6"/>
            <w:noWrap w:val="0"/>
            <w:vAlign w:val="center"/>
          </w:tcPr>
          <w:p>
            <w:pPr>
              <w:spacing w:line="0" w:lineRule="atLeast"/>
              <w:jc w:val="center"/>
              <w:rPr>
                <w:rFonts w:hint="eastAsia" w:ascii="楷体_GB2312" w:hAnsi="宋体" w:eastAsia="楷体_GB2312"/>
                <w:sz w:val="21"/>
                <w:szCs w:val="21"/>
                <w:lang w:eastAsia="zh-CN"/>
              </w:rPr>
            </w:pPr>
            <w:r>
              <w:rPr>
                <w:rFonts w:hint="eastAsia" w:ascii="楷体_GB2312" w:hAnsi="宋体" w:eastAsia="楷体_GB2312"/>
                <w:sz w:val="21"/>
                <w:szCs w:val="21"/>
                <w:lang w:eastAsia="zh-CN"/>
              </w:rPr>
              <w:t>杨珍全</w:t>
            </w:r>
          </w:p>
        </w:tc>
        <w:tc>
          <w:tcPr>
            <w:tcW w:w="1567" w:type="dxa"/>
            <w:shd w:val="clear" w:color="auto" w:fill="E6E6E6"/>
            <w:noWrap w:val="0"/>
            <w:vAlign w:val="center"/>
          </w:tcPr>
          <w:p>
            <w:pPr>
              <w:spacing w:line="0" w:lineRule="atLeast"/>
              <w:jc w:val="center"/>
              <w:rPr>
                <w:rFonts w:ascii="楷体_GB2312" w:hAnsi="宋体" w:eastAsia="楷体_GB2312"/>
                <w:sz w:val="21"/>
                <w:szCs w:val="21"/>
              </w:rPr>
            </w:pPr>
          </w:p>
        </w:tc>
        <w:tc>
          <w:tcPr>
            <w:tcW w:w="788" w:type="dxa"/>
            <w:shd w:val="clear" w:color="auto" w:fill="E6E6E6"/>
            <w:noWrap w:val="0"/>
            <w:vAlign w:val="center"/>
          </w:tcPr>
          <w:p>
            <w:pPr>
              <w:spacing w:line="0" w:lineRule="atLeast"/>
              <w:jc w:val="center"/>
              <w:rPr>
                <w:rFonts w:ascii="楷体_GB2312" w:hAnsi="宋体" w:eastAsia="楷体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楷体_GB2312" w:hAnsi="宋体" w:eastAsia="楷体_GB2312" w:cs="Times New Roman"/>
                <w:kern w:val="2"/>
                <w:sz w:val="21"/>
                <w:szCs w:val="21"/>
                <w:lang w:val="en-US" w:eastAsia="zh-CN" w:bidi="ar-SA"/>
              </w:rPr>
              <w:t>检查表</w:t>
            </w:r>
          </w:p>
        </w:tc>
        <w:tc>
          <w:tcPr>
            <w:tcW w:w="9261"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审   核   记   录</w:t>
            </w:r>
          </w:p>
        </w:tc>
        <w:tc>
          <w:tcPr>
            <w:tcW w:w="1567"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条款号</w:t>
            </w:r>
          </w:p>
        </w:tc>
        <w:tc>
          <w:tcPr>
            <w:tcW w:w="788" w:type="dxa"/>
            <w:shd w:val="clear" w:color="auto" w:fill="E6E6E6"/>
            <w:noWrap w:val="0"/>
            <w:vAlign w:val="center"/>
          </w:tcPr>
          <w:p>
            <w:pPr>
              <w:spacing w:line="0" w:lineRule="atLeast"/>
              <w:jc w:val="center"/>
              <w:rPr>
                <w:rFonts w:hint="eastAsia" w:ascii="楷体_GB2312" w:hAnsi="宋体" w:eastAsia="楷体_GB2312" w:cs="Times New Roman"/>
                <w:kern w:val="2"/>
                <w:sz w:val="21"/>
                <w:szCs w:val="21"/>
                <w:lang w:val="en-US" w:eastAsia="zh-CN" w:bidi="ar-SA"/>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rFonts w:hint="eastAsia" w:ascii="宋体" w:hAnsi="宋体"/>
                <w:sz w:val="21"/>
                <w:szCs w:val="21"/>
              </w:rPr>
            </w:pPr>
            <w:r>
              <w:rPr>
                <w:rFonts w:hint="eastAsia"/>
                <w:szCs w:val="21"/>
              </w:rPr>
              <w:t>产品质量监督抽查情况（QMS）</w:t>
            </w:r>
          </w:p>
        </w:tc>
        <w:tc>
          <w:tcPr>
            <w:tcW w:w="9261" w:type="dxa"/>
            <w:noWrap w:val="0"/>
            <w:vAlign w:val="top"/>
          </w:tcPr>
          <w:p>
            <w:pPr>
              <w:spacing w:line="400" w:lineRule="exact"/>
              <w:rPr>
                <w:szCs w:val="21"/>
              </w:rPr>
            </w:pP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w:t>
            </w:r>
          </w:p>
          <w:p>
            <w:pPr>
              <w:widowControl/>
              <w:spacing w:line="400" w:lineRule="exact"/>
              <w:rPr>
                <w:rFonts w:hint="eastAsia" w:ascii="宋体" w:hAnsi="宋体"/>
                <w:sz w:val="21"/>
                <w:szCs w:val="21"/>
              </w:rPr>
            </w:pPr>
          </w:p>
          <w:p>
            <w:pPr>
              <w:rPr>
                <w:rFonts w:ascii="宋体" w:hAnsi="宋体" w:cs="宋体"/>
                <w:szCs w:val="21"/>
                <w:highlight w:val="green"/>
              </w:rPr>
            </w:pPr>
            <w:r>
              <w:rPr>
                <w:rFonts w:hint="eastAsia" w:ascii="宋体" w:hAnsi="宋体"/>
                <w:sz w:val="21"/>
                <w:szCs w:val="21"/>
              </w:rPr>
              <w:t>产品执行标准</w:t>
            </w:r>
            <w:r>
              <w:rPr>
                <w:rFonts w:hint="eastAsia" w:ascii="宋体" w:hAnsi="宋体" w:cs="Times New Roman"/>
                <w:sz w:val="21"/>
                <w:szCs w:val="21"/>
              </w:rPr>
              <w:t>:GDW1374.3-2013采集系统通信单元技术规范》</w:t>
            </w:r>
            <w:r>
              <w:rPr>
                <w:rFonts w:hint="eastAsia" w:ascii="宋体" w:hAnsi="宋体" w:cs="Times New Roman"/>
                <w:sz w:val="21"/>
                <w:szCs w:val="21"/>
                <w:lang w:eastAsia="zh-CN"/>
              </w:rPr>
              <w:t>；</w:t>
            </w:r>
            <w:r>
              <w:rPr>
                <w:rFonts w:hint="eastAsia" w:ascii="宋体" w:hAnsi="宋体" w:cs="Times New Roman"/>
                <w:sz w:val="21"/>
                <w:szCs w:val="21"/>
              </w:rPr>
              <w:t>《GB-T2423.1-2008试验A：低温试验方法》</w:t>
            </w:r>
            <w:r>
              <w:rPr>
                <w:rFonts w:hint="eastAsia" w:ascii="宋体" w:hAnsi="宋体" w:cs="Times New Roman"/>
                <w:sz w:val="21"/>
                <w:szCs w:val="21"/>
                <w:lang w:eastAsia="zh-CN"/>
              </w:rPr>
              <w:t>；</w:t>
            </w:r>
            <w:r>
              <w:rPr>
                <w:rFonts w:hint="eastAsia" w:ascii="宋体" w:hAnsi="宋体" w:cs="Times New Roman"/>
                <w:sz w:val="21"/>
                <w:szCs w:val="21"/>
              </w:rPr>
              <w:t>《GB∕T 17626.2-2018 电磁兼容 试验和测量技术》</w:t>
            </w:r>
            <w:r>
              <w:rPr>
                <w:rFonts w:hint="eastAsia" w:ascii="宋体" w:hAnsi="宋体" w:cs="Times New Roman"/>
                <w:sz w:val="21"/>
                <w:szCs w:val="21"/>
                <w:lang w:eastAsia="zh-CN"/>
              </w:rPr>
              <w:t>；</w:t>
            </w:r>
            <w:r>
              <w:rPr>
                <w:rFonts w:hint="eastAsia" w:ascii="宋体" w:hAnsi="宋体" w:cs="Times New Roman"/>
                <w:sz w:val="21"/>
                <w:szCs w:val="21"/>
              </w:rPr>
              <w:t>《Q／GDW-1374.2-2013-电力用户用电信息采集系统技术规范-第2部分：集中抄表终端技术规范》</w:t>
            </w:r>
            <w:r>
              <w:rPr>
                <w:rFonts w:hint="eastAsia" w:ascii="宋体" w:hAnsi="宋体" w:cs="Times New Roman"/>
                <w:sz w:val="21"/>
                <w:szCs w:val="21"/>
                <w:lang w:eastAsia="zh-CN"/>
              </w:rPr>
              <w:t>等</w:t>
            </w:r>
            <w:r>
              <w:rPr>
                <w:rFonts w:hint="eastAsia" w:ascii="宋体" w:hAnsi="宋体" w:cs="Times New Roman"/>
                <w:sz w:val="21"/>
                <w:szCs w:val="21"/>
                <w:lang w:val="en-US" w:eastAsia="zh-CN"/>
              </w:rPr>
              <w:t>。</w:t>
            </w:r>
          </w:p>
          <w:p>
            <w:pPr>
              <w:spacing w:line="400" w:lineRule="exact"/>
              <w:rPr>
                <w:rFonts w:hint="eastAsia" w:ascii="宋体" w:hAnsi="宋体" w:cs="宋体"/>
                <w:color w:val="000000" w:themeColor="text1"/>
                <w:szCs w:val="21"/>
                <w:highlight w:val="none"/>
                <w:lang w:eastAsia="zh-CN"/>
              </w:rPr>
            </w:pPr>
          </w:p>
          <w:p>
            <w:pPr>
              <w:spacing w:line="400" w:lineRule="exact"/>
              <w:rPr>
                <w:rFonts w:hint="eastAsia" w:ascii="宋体" w:hAnsi="宋体"/>
                <w:sz w:val="21"/>
                <w:szCs w:val="21"/>
              </w:rPr>
            </w:pPr>
            <w:r>
              <w:rPr>
                <w:rFonts w:hint="eastAsia" w:ascii="宋体" w:hAnsi="宋体" w:cs="宋体"/>
                <w:color w:val="000000" w:themeColor="text1"/>
                <w:szCs w:val="21"/>
                <w:highlight w:val="none"/>
                <w:lang w:eastAsia="zh-CN"/>
              </w:rPr>
              <w:t>无</w:t>
            </w:r>
            <w:r>
              <w:rPr>
                <w:rFonts w:hint="eastAsia" w:ascii="宋体" w:hAnsi="宋体" w:cs="宋体"/>
                <w:color w:val="000000" w:themeColor="text1"/>
                <w:szCs w:val="21"/>
                <w:highlight w:val="none"/>
                <w:lang w:val="en-US" w:eastAsia="zh-CN"/>
              </w:rPr>
              <w:t>质量监督抽查</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提供有计算机软件产品测试报告和</w:t>
            </w:r>
            <w:r>
              <w:rPr>
                <w:sz w:val="20"/>
              </w:rPr>
              <w:t>信息采集用控制模块</w:t>
            </w:r>
            <w:r>
              <w:rPr>
                <w:rFonts w:hint="eastAsia"/>
                <w:sz w:val="20"/>
                <w:lang w:val="en-US" w:eastAsia="zh-CN"/>
              </w:rPr>
              <w:t>型试试验报告，见附件</w:t>
            </w:r>
            <w:r>
              <w:rPr>
                <w:rFonts w:hint="eastAsia" w:ascii="宋体" w:hAnsi="宋体" w:cs="宋体"/>
                <w:color w:val="000000" w:themeColor="text1"/>
                <w:szCs w:val="21"/>
                <w:highlight w:val="none"/>
              </w:rPr>
              <w:t>。</w:t>
            </w:r>
          </w:p>
        </w:tc>
        <w:tc>
          <w:tcPr>
            <w:tcW w:w="1567" w:type="dxa"/>
            <w:noWrap w:val="0"/>
            <w:vAlign w:val="top"/>
          </w:tcPr>
          <w:p>
            <w:pPr>
              <w:adjustRightInd w:val="0"/>
              <w:snapToGrid w:val="0"/>
              <w:rPr>
                <w:rFonts w:ascii="宋体" w:hAnsi="宋体" w:cs="宋体"/>
                <w:szCs w:val="21"/>
              </w:rPr>
            </w:pPr>
            <w:r>
              <w:rPr>
                <w:rFonts w:hint="eastAsia" w:ascii="宋体" w:hAnsi="宋体"/>
                <w:szCs w:val="21"/>
              </w:rPr>
              <w:t>Q:6.1.3、9.1.2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hint="eastAsia" w:ascii="宋体" w:hAnsi="宋体" w:cs="Times New Roman"/>
                <w:color w:val="auto"/>
                <w:szCs w:val="21"/>
                <w:highlight w:val="none"/>
                <w:lang w:val="en-US" w:eastAsia="zh-CN"/>
              </w:rPr>
            </w:pPr>
          </w:p>
        </w:tc>
        <w:tc>
          <w:tcPr>
            <w:tcW w:w="788" w:type="dxa"/>
            <w:noWrap w:val="0"/>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hint="eastAsia" w:ascii="宋体" w:hAnsi="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szCs w:val="21"/>
              </w:rPr>
            </w:pPr>
            <w:r>
              <w:rPr>
                <w:rFonts w:hint="eastAsia"/>
                <w:szCs w:val="21"/>
              </w:rPr>
              <w:t>设计开发产品或项目名称</w:t>
            </w:r>
          </w:p>
          <w:p>
            <w:pPr>
              <w:spacing w:line="400" w:lineRule="exact"/>
              <w:rPr>
                <w:rFonts w:hint="eastAsia"/>
                <w:szCs w:val="21"/>
                <w:highlight w:val="none"/>
              </w:rPr>
            </w:pPr>
          </w:p>
          <w:p>
            <w:pPr>
              <w:spacing w:line="400" w:lineRule="exact"/>
              <w:rPr>
                <w:rFonts w:hint="eastAsia"/>
                <w:sz w:val="21"/>
                <w:szCs w:val="21"/>
              </w:rPr>
            </w:pPr>
            <w:r>
              <w:rPr>
                <w:rFonts w:hint="eastAsia"/>
                <w:szCs w:val="21"/>
                <w:highlight w:val="none"/>
              </w:rPr>
              <w:t>主要原材料</w:t>
            </w:r>
          </w:p>
        </w:tc>
        <w:tc>
          <w:tcPr>
            <w:tcW w:w="9261" w:type="dxa"/>
            <w:noWrap w:val="0"/>
            <w:vAlign w:val="top"/>
          </w:tcPr>
          <w:p>
            <w:pPr>
              <w:spacing w:line="400" w:lineRule="exact"/>
              <w:rPr>
                <w:rFonts w:hint="default"/>
                <w:szCs w:val="21"/>
                <w:highlight w:val="none"/>
                <w:lang w:val="en-US" w:eastAsia="zh-CN"/>
              </w:rPr>
            </w:pPr>
            <w:r>
              <w:rPr>
                <w:rFonts w:hint="eastAsia"/>
                <w:szCs w:val="21"/>
                <w:highlight w:val="none"/>
                <w:lang w:val="en-US" w:eastAsia="zh-CN"/>
              </w:rPr>
              <w:t>1）供电服务指标e管理（计算机软件开发）；2）低压配网监终端（用电、配电</w:t>
            </w:r>
            <w:r>
              <w:rPr>
                <w:sz w:val="20"/>
              </w:rPr>
              <w:t>信息采集</w:t>
            </w:r>
            <w:r>
              <w:rPr>
                <w:rFonts w:hint="eastAsia"/>
                <w:szCs w:val="21"/>
                <w:highlight w:val="none"/>
                <w:lang w:val="en-US" w:eastAsia="zh-CN"/>
              </w:rPr>
              <w:t>控制模块产品）。</w:t>
            </w:r>
          </w:p>
          <w:p>
            <w:pPr>
              <w:spacing w:line="400" w:lineRule="exact"/>
              <w:rPr>
                <w:rFonts w:hint="eastAsia" w:eastAsia="宋体"/>
                <w:color w:val="FF0000"/>
                <w:sz w:val="21"/>
                <w:szCs w:val="21"/>
                <w:lang w:eastAsia="zh-CN"/>
              </w:rPr>
            </w:pPr>
            <w:r>
              <w:rPr>
                <w:rFonts w:hint="eastAsia" w:ascii="宋体" w:hAnsi="宋体"/>
                <w:sz w:val="21"/>
                <w:szCs w:val="21"/>
                <w:highlight w:val="none"/>
                <w:lang w:val="en-US" w:eastAsia="zh-CN"/>
              </w:rPr>
              <w:t>机壳</w:t>
            </w:r>
            <w:r>
              <w:rPr>
                <w:rFonts w:hint="eastAsia" w:ascii="宋体" w:hAnsi="宋体"/>
                <w:sz w:val="21"/>
                <w:szCs w:val="21"/>
                <w:highlight w:val="none"/>
                <w:lang w:eastAsia="zh-CN"/>
              </w:rPr>
              <w:t>、</w:t>
            </w:r>
            <w:r>
              <w:rPr>
                <w:rFonts w:hint="eastAsia" w:ascii="宋体" w:hAnsi="宋体"/>
                <w:sz w:val="21"/>
                <w:szCs w:val="21"/>
                <w:highlight w:val="none"/>
                <w:lang w:val="en-US" w:eastAsia="zh-CN"/>
              </w:rPr>
              <w:t>PCB印制板、ACDC开关电源、CPU</w:t>
            </w:r>
            <w:r>
              <w:rPr>
                <w:rFonts w:hint="eastAsia" w:ascii="宋体" w:hAnsi="宋体"/>
                <w:sz w:val="21"/>
                <w:szCs w:val="21"/>
                <w:highlight w:val="none"/>
                <w:lang w:eastAsia="zh-CN"/>
              </w:rPr>
              <w:t>、</w:t>
            </w:r>
            <w:r>
              <w:rPr>
                <w:rFonts w:hint="eastAsia" w:ascii="宋体" w:hAnsi="宋体"/>
                <w:sz w:val="21"/>
                <w:szCs w:val="21"/>
                <w:highlight w:val="none"/>
                <w:lang w:val="en-US" w:eastAsia="zh-CN"/>
              </w:rPr>
              <w:t>光纤接口</w:t>
            </w:r>
            <w:r>
              <w:rPr>
                <w:rFonts w:hint="eastAsia" w:ascii="宋体" w:hAnsi="宋体"/>
                <w:sz w:val="21"/>
                <w:szCs w:val="21"/>
                <w:highlight w:val="none"/>
                <w:lang w:eastAsia="zh-CN"/>
              </w:rPr>
              <w:t>、</w:t>
            </w:r>
            <w:r>
              <w:rPr>
                <w:rFonts w:hint="eastAsia" w:ascii="宋体" w:hAnsi="宋体"/>
                <w:sz w:val="21"/>
                <w:szCs w:val="21"/>
                <w:highlight w:val="none"/>
                <w:lang w:val="en-US" w:eastAsia="zh-CN"/>
              </w:rPr>
              <w:t>通信模组</w:t>
            </w:r>
            <w:r>
              <w:rPr>
                <w:rFonts w:hint="eastAsia" w:ascii="宋体" w:hAnsi="宋体"/>
                <w:sz w:val="21"/>
                <w:szCs w:val="21"/>
                <w:highlight w:val="none"/>
                <w:lang w:eastAsia="zh-CN"/>
              </w:rPr>
              <w:t>、包装箱、合格证</w:t>
            </w:r>
            <w:r>
              <w:rPr>
                <w:rFonts w:hint="eastAsia" w:ascii="宋体" w:hAnsi="宋体"/>
                <w:sz w:val="21"/>
                <w:szCs w:val="21"/>
                <w:highlight w:val="none"/>
              </w:rPr>
              <w:t>等</w:t>
            </w:r>
          </w:p>
        </w:tc>
        <w:tc>
          <w:tcPr>
            <w:tcW w:w="1567" w:type="dxa"/>
            <w:noWrap w:val="0"/>
            <w:vAlign w:val="top"/>
          </w:tcPr>
          <w:p>
            <w:pPr>
              <w:spacing w:line="440" w:lineRule="exact"/>
              <w:jc w:val="left"/>
              <w:rPr>
                <w:rFonts w:hint="eastAsia" w:ascii="宋体" w:hAnsi="宋体" w:cs="Times New Roman"/>
                <w:color w:val="auto"/>
                <w:szCs w:val="21"/>
                <w:highlight w:val="none"/>
                <w:lang w:val="en-US" w:eastAsia="zh-CN"/>
              </w:rPr>
            </w:pPr>
            <w:r>
              <w:rPr>
                <w:rFonts w:hint="eastAsia" w:ascii="宋体" w:hAnsi="宋体"/>
                <w:szCs w:val="21"/>
              </w:rPr>
              <w:t>Q8.3</w:t>
            </w:r>
          </w:p>
        </w:tc>
        <w:tc>
          <w:tcPr>
            <w:tcW w:w="788" w:type="dxa"/>
            <w:noWrap w:val="0"/>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hint="eastAsia" w:ascii="宋体" w:hAnsi="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spacing w:line="400" w:lineRule="exact"/>
              <w:rPr>
                <w:szCs w:val="21"/>
                <w:u w:val="single"/>
              </w:rPr>
            </w:pPr>
            <w:r>
              <w:rPr>
                <w:rFonts w:hint="eastAsia"/>
                <w:szCs w:val="21"/>
                <w:u w:val="single"/>
              </w:rPr>
              <w:t>员工人数</w:t>
            </w:r>
          </w:p>
          <w:p>
            <w:pPr>
              <w:spacing w:line="400" w:lineRule="exact"/>
              <w:rPr>
                <w:szCs w:val="21"/>
                <w:u w:val="single"/>
              </w:rPr>
            </w:pPr>
          </w:p>
          <w:p>
            <w:pPr>
              <w:spacing w:line="400" w:lineRule="exact"/>
              <w:rPr>
                <w:szCs w:val="21"/>
              </w:rPr>
            </w:pPr>
            <w:r>
              <w:rPr>
                <w:rFonts w:hint="eastAsia"/>
                <w:szCs w:val="21"/>
              </w:rPr>
              <w:t>关键岗位持证上岗人员</w:t>
            </w:r>
          </w:p>
          <w:p>
            <w:pPr>
              <w:spacing w:line="400" w:lineRule="exact"/>
              <w:rPr>
                <w:rFonts w:hint="eastAsia" w:ascii="宋体" w:hAnsi="宋体"/>
                <w:sz w:val="21"/>
                <w:szCs w:val="21"/>
                <w:lang w:val="en-US" w:eastAsia="zh-CN"/>
              </w:rPr>
            </w:pPr>
            <w:r>
              <w:rPr>
                <w:rFonts w:hint="eastAsia"/>
                <w:szCs w:val="21"/>
              </w:rPr>
              <w:t>特殊工种人员</w:t>
            </w:r>
          </w:p>
        </w:tc>
        <w:tc>
          <w:tcPr>
            <w:tcW w:w="9261" w:type="dxa"/>
            <w:noWrap w:val="0"/>
            <w:vAlign w:val="top"/>
          </w:tcPr>
          <w:p>
            <w:pPr>
              <w:spacing w:line="400" w:lineRule="exact"/>
            </w:pPr>
            <w:r>
              <w:rPr>
                <w:rFonts w:hint="eastAsia"/>
                <w:lang w:val="en-US" w:eastAsia="zh-CN"/>
              </w:rPr>
              <w:t>38</w:t>
            </w:r>
            <w:r>
              <w:rPr>
                <w:rFonts w:hint="eastAsia"/>
              </w:rPr>
              <w:t>人</w:t>
            </w:r>
          </w:p>
          <w:p>
            <w:pPr>
              <w:spacing w:line="400" w:lineRule="exact"/>
            </w:pPr>
          </w:p>
          <w:p>
            <w:pPr>
              <w:spacing w:line="400" w:lineRule="exact"/>
              <w:rPr>
                <w:rFonts w:hint="eastAsia"/>
                <w:highlight w:val="none"/>
                <w:lang w:val="en-US" w:eastAsia="zh-CN"/>
              </w:rPr>
            </w:pPr>
            <w:r>
              <w:rPr>
                <w:rFonts w:hint="eastAsia"/>
                <w:highlight w:val="none"/>
                <w:lang w:val="en-US" w:eastAsia="zh-CN"/>
              </w:rPr>
              <w:t>研发设计、销售、检测人员等</w:t>
            </w:r>
          </w:p>
          <w:p>
            <w:pPr>
              <w:pStyle w:val="3"/>
              <w:rPr>
                <w:rFonts w:hint="eastAsia" w:ascii="宋体" w:hAnsi="宋体"/>
                <w:sz w:val="21"/>
                <w:szCs w:val="21"/>
                <w:lang w:val="en-US" w:eastAsia="zh-CN"/>
              </w:rPr>
            </w:pPr>
            <w:r>
              <w:rPr>
                <w:rFonts w:hint="eastAsia"/>
                <w:szCs w:val="21"/>
                <w:highlight w:val="none"/>
                <w:lang w:val="en-US" w:eastAsia="zh-CN"/>
              </w:rPr>
              <w:t>无</w:t>
            </w:r>
          </w:p>
        </w:tc>
        <w:tc>
          <w:tcPr>
            <w:tcW w:w="1567" w:type="dxa"/>
            <w:noWrap w:val="0"/>
            <w:vAlign w:val="top"/>
          </w:tcPr>
          <w:p>
            <w:pPr>
              <w:spacing w:line="440" w:lineRule="exact"/>
              <w:jc w:val="left"/>
              <w:rPr>
                <w:rFonts w:hint="default" w:ascii="宋体" w:hAnsi="宋体" w:eastAsia="宋体" w:cs="Times New Roman"/>
                <w:color w:val="auto"/>
                <w:kern w:val="2"/>
                <w:sz w:val="21"/>
                <w:szCs w:val="21"/>
                <w:highlight w:val="none"/>
                <w:lang w:val="en-US" w:eastAsia="zh-CN" w:bidi="ar-SA"/>
              </w:rPr>
            </w:pPr>
            <w:r>
              <w:rPr>
                <w:rFonts w:hint="eastAsia" w:ascii="宋体" w:hAnsi="宋体"/>
                <w:szCs w:val="21"/>
              </w:rPr>
              <w:t>Q:7.2</w:t>
            </w:r>
          </w:p>
        </w:tc>
        <w:tc>
          <w:tcPr>
            <w:tcW w:w="788" w:type="dxa"/>
            <w:noWrap w:val="0"/>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szCs w:val="21"/>
              </w:rPr>
            </w:pPr>
            <w:r>
              <w:rPr>
                <w:rFonts w:hint="eastAsia"/>
                <w:szCs w:val="21"/>
              </w:rPr>
              <w:t>主要经营设备</w:t>
            </w: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p>
          <w:p>
            <w:pPr>
              <w:spacing w:line="400" w:lineRule="exact"/>
              <w:rPr>
                <w:rFonts w:hint="eastAsia" w:ascii="宋体" w:hAnsi="宋体" w:cs="宋体"/>
                <w:sz w:val="21"/>
                <w:szCs w:val="21"/>
              </w:rPr>
            </w:pPr>
            <w:r>
              <w:rPr>
                <w:rFonts w:hint="eastAsia"/>
                <w:szCs w:val="21"/>
                <w:highlight w:val="none"/>
              </w:rPr>
              <w:t>主要检测设备及设备的检定/校准（QMS）</w:t>
            </w:r>
          </w:p>
        </w:tc>
        <w:tc>
          <w:tcPr>
            <w:tcW w:w="9261" w:type="dxa"/>
            <w:noWrap w:val="0"/>
            <w:vAlign w:val="top"/>
          </w:tcPr>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电脑、服务器、全自动印刷机、稳压电源、逆变电源、贴片机、热风枪、仿真机、手动装配、调试工具等</w:t>
            </w:r>
          </w:p>
          <w:p>
            <w:pPr>
              <w:spacing w:line="400" w:lineRule="exact"/>
              <w:rPr>
                <w:rFonts w:hint="eastAsia"/>
                <w:szCs w:val="21"/>
              </w:rPr>
            </w:pPr>
          </w:p>
          <w:p>
            <w:pPr>
              <w:spacing w:line="400" w:lineRule="exact"/>
              <w:rPr>
                <w:szCs w:val="21"/>
              </w:rPr>
            </w:pPr>
            <w:r>
              <w:rPr>
                <w:rFonts w:hint="eastAsia"/>
                <w:szCs w:val="21"/>
              </w:rPr>
              <w:t>无</w:t>
            </w:r>
          </w:p>
          <w:p>
            <w:pPr>
              <w:spacing w:line="400" w:lineRule="exact"/>
              <w:rPr>
                <w:szCs w:val="21"/>
              </w:rPr>
            </w:pPr>
          </w:p>
          <w:p>
            <w:pPr>
              <w:spacing w:line="400" w:lineRule="exact"/>
              <w:rPr>
                <w:rFonts w:hint="eastAsia" w:ascii="宋体" w:hAnsi="宋体" w:cs="宋体"/>
                <w:color w:val="FF0000"/>
                <w:sz w:val="21"/>
                <w:szCs w:val="21"/>
              </w:rPr>
            </w:pPr>
            <w:r>
              <w:rPr>
                <w:rFonts w:hint="eastAsia" w:ascii="宋体" w:hAnsi="宋体" w:cs="宋体"/>
                <w:color w:val="000000"/>
                <w:sz w:val="21"/>
                <w:szCs w:val="21"/>
                <w:lang w:val="en-US" w:eastAsia="zh-CN"/>
              </w:rPr>
              <w:t>游标卡尺、万用表、示波器</w:t>
            </w:r>
            <w:r>
              <w:rPr>
                <w:rFonts w:hint="eastAsia"/>
                <w:szCs w:val="21"/>
                <w:highlight w:val="none"/>
                <w:lang w:eastAsia="zh-CN"/>
              </w:rPr>
              <w:t>等，提供有有效检定或校准证书。</w:t>
            </w:r>
          </w:p>
        </w:tc>
        <w:tc>
          <w:tcPr>
            <w:tcW w:w="1567" w:type="dxa"/>
            <w:noWrap w:val="0"/>
            <w:vAlign w:val="top"/>
          </w:tcPr>
          <w:p>
            <w:pPr>
              <w:spacing w:line="440" w:lineRule="exact"/>
              <w:jc w:val="left"/>
              <w:rPr>
                <w:rFonts w:ascii="宋体" w:hAnsi="宋体"/>
                <w:szCs w:val="21"/>
              </w:rPr>
            </w:pPr>
            <w:r>
              <w:rPr>
                <w:rFonts w:hint="eastAsia" w:ascii="宋体" w:hAnsi="宋体"/>
                <w:szCs w:val="21"/>
              </w:rPr>
              <w:t>Q:7.1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both"/>
              <w:rPr>
                <w:rFonts w:hint="eastAsia" w:ascii="宋体" w:hAnsi="宋体" w:eastAsia="宋体"/>
                <w:szCs w:val="21"/>
                <w:lang w:val="en-US" w:eastAsia="zh-CN"/>
              </w:rPr>
            </w:pPr>
            <w:r>
              <w:rPr>
                <w:rFonts w:hint="eastAsia" w:ascii="宋体" w:hAnsi="宋体"/>
                <w:szCs w:val="21"/>
              </w:rPr>
              <w:t>Q7.1.</w:t>
            </w:r>
            <w:r>
              <w:rPr>
                <w:rFonts w:hint="eastAsia" w:ascii="宋体" w:hAnsi="宋体"/>
                <w:szCs w:val="21"/>
                <w:lang w:val="en-US" w:eastAsia="zh-CN"/>
              </w:rPr>
              <w:t>5</w:t>
            </w:r>
          </w:p>
          <w:p>
            <w:pPr>
              <w:spacing w:line="440" w:lineRule="exact"/>
              <w:jc w:val="center"/>
              <w:rPr>
                <w:rFonts w:ascii="宋体" w:hAnsi="宋体"/>
                <w:szCs w:val="21"/>
              </w:rPr>
            </w:pPr>
          </w:p>
          <w:p>
            <w:pPr>
              <w:spacing w:line="440" w:lineRule="exact"/>
              <w:rPr>
                <w:rFonts w:hint="default" w:ascii="宋体" w:hAnsi="宋体" w:cs="Times New Roman"/>
                <w:color w:val="auto"/>
                <w:szCs w:val="21"/>
                <w:highlight w:val="none"/>
                <w:lang w:val="en-US" w:eastAsia="zh-CN"/>
              </w:rPr>
            </w:pPr>
          </w:p>
        </w:tc>
        <w:tc>
          <w:tcPr>
            <w:tcW w:w="788" w:type="dxa"/>
            <w:noWrap w:val="0"/>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both"/>
              <w:rPr>
                <w:rFonts w:hint="eastAsia" w:ascii="宋体" w:hAnsi="宋体" w:eastAsia="宋体"/>
                <w:szCs w:val="21"/>
                <w:lang w:val="en-US" w:eastAsia="zh-CN"/>
              </w:rPr>
            </w:pPr>
            <w:r>
              <w:rPr>
                <w:rFonts w:hint="eastAsia" w:ascii="宋体" w:hAnsi="宋体"/>
                <w:szCs w:val="21"/>
                <w:lang w:val="en-US" w:eastAsia="zh-CN"/>
              </w:rPr>
              <w:t>符合</w:t>
            </w:r>
          </w:p>
          <w:p>
            <w:pPr>
              <w:spacing w:line="440" w:lineRule="exact"/>
              <w:jc w:val="center"/>
              <w:rPr>
                <w:rFonts w:ascii="宋体" w:hAnsi="宋体"/>
                <w:szCs w:val="21"/>
              </w:rPr>
            </w:pPr>
          </w:p>
          <w:p>
            <w:pPr>
              <w:spacing w:line="440" w:lineRule="exact"/>
              <w:rPr>
                <w:rFonts w:hint="eastAsia" w:ascii="宋体" w:hAnsi="宋体" w:cs="Times New Roman"/>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380" w:lineRule="exact"/>
              <w:rPr>
                <w:rFonts w:ascii="宋体" w:hAnsi="宋体"/>
                <w:szCs w:val="21"/>
              </w:rPr>
            </w:pPr>
            <w:r>
              <w:rPr>
                <w:rFonts w:hint="eastAsia" w:ascii="宋体" w:hAnsi="宋体"/>
                <w:szCs w:val="21"/>
              </w:rPr>
              <w:t>内部审核：</w:t>
            </w:r>
          </w:p>
          <w:p>
            <w:pPr>
              <w:spacing w:line="380" w:lineRule="exact"/>
              <w:rPr>
                <w:rFonts w:ascii="宋体" w:hAnsi="宋体"/>
                <w:szCs w:val="21"/>
              </w:rPr>
            </w:pPr>
            <w:r>
              <w:rPr>
                <w:rFonts w:hint="eastAsia" w:ascii="宋体" w:hAnsi="宋体"/>
                <w:szCs w:val="21"/>
              </w:rPr>
              <w:t>时间</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审核组</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不符合及整改</w:t>
            </w:r>
          </w:p>
          <w:p>
            <w:pPr>
              <w:spacing w:line="380" w:lineRule="exact"/>
              <w:rPr>
                <w:rFonts w:hint="eastAsia"/>
                <w:sz w:val="21"/>
                <w:szCs w:val="21"/>
              </w:rPr>
            </w:pPr>
          </w:p>
        </w:tc>
        <w:tc>
          <w:tcPr>
            <w:tcW w:w="9261"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sz w:val="21"/>
                <w:szCs w:val="21"/>
              </w:rPr>
            </w:pPr>
            <w:r>
              <w:rPr>
                <w:rFonts w:hint="eastAsia"/>
                <w:sz w:val="21"/>
                <w:szCs w:val="21"/>
              </w:rPr>
              <w:t xml:space="preserve">见有《年度内审计划和内部实施计划表》 </w:t>
            </w:r>
          </w:p>
          <w:p>
            <w:pPr>
              <w:spacing w:line="400" w:lineRule="exact"/>
              <w:rPr>
                <w:rFonts w:hint="eastAsia"/>
                <w:sz w:val="21"/>
                <w:szCs w:val="21"/>
              </w:rPr>
            </w:pPr>
            <w:r>
              <w:rPr>
                <w:rFonts w:hint="eastAsia"/>
                <w:sz w:val="21"/>
                <w:szCs w:val="21"/>
              </w:rPr>
              <w:t>内审时间：20</w:t>
            </w:r>
            <w:r>
              <w:rPr>
                <w:rFonts w:hint="eastAsia"/>
                <w:sz w:val="21"/>
                <w:szCs w:val="21"/>
                <w:lang w:val="en-US" w:eastAsia="zh-CN"/>
              </w:rPr>
              <w:t>20</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18</w:t>
            </w:r>
            <w:r>
              <w:rPr>
                <w:rFonts w:hint="eastAsia"/>
                <w:sz w:val="21"/>
                <w:szCs w:val="21"/>
              </w:rPr>
              <w:t>日</w:t>
            </w:r>
          </w:p>
          <w:p>
            <w:pPr>
              <w:spacing w:line="400" w:lineRule="exact"/>
              <w:rPr>
                <w:rFonts w:hint="eastAsia"/>
                <w:sz w:val="21"/>
                <w:szCs w:val="21"/>
              </w:rPr>
            </w:pPr>
            <w:r>
              <w:rPr>
                <w:rFonts w:hint="eastAsia"/>
                <w:sz w:val="21"/>
                <w:szCs w:val="21"/>
              </w:rPr>
              <w:t>内审组：组长：</w:t>
            </w:r>
            <w:r>
              <w:rPr>
                <w:rFonts w:hint="eastAsia"/>
                <w:sz w:val="21"/>
                <w:szCs w:val="21"/>
                <w:lang w:eastAsia="zh-CN"/>
              </w:rPr>
              <w:t>李</w:t>
            </w:r>
            <w:r>
              <w:rPr>
                <w:rFonts w:hint="eastAsia"/>
                <w:sz w:val="21"/>
                <w:szCs w:val="21"/>
                <w:lang w:val="en-US" w:eastAsia="zh-CN"/>
              </w:rPr>
              <w:t>文超</w:t>
            </w:r>
            <w:r>
              <w:rPr>
                <w:rFonts w:hint="eastAsia"/>
                <w:sz w:val="21"/>
                <w:szCs w:val="21"/>
              </w:rPr>
              <w:t xml:space="preserve"> </w:t>
            </w:r>
            <w:r>
              <w:rPr>
                <w:rFonts w:hint="eastAsia"/>
                <w:sz w:val="21"/>
                <w:szCs w:val="21"/>
                <w:lang w:val="en-US" w:eastAsia="zh-CN"/>
              </w:rPr>
              <w:t xml:space="preserve"> </w:t>
            </w:r>
            <w:r>
              <w:rPr>
                <w:rFonts w:hint="eastAsia"/>
                <w:sz w:val="21"/>
                <w:szCs w:val="21"/>
              </w:rPr>
              <w:t>    组员：</w:t>
            </w:r>
            <w:r>
              <w:rPr>
                <w:rFonts w:hint="eastAsia"/>
                <w:sz w:val="21"/>
                <w:szCs w:val="21"/>
                <w:lang w:eastAsia="zh-CN"/>
              </w:rPr>
              <w:t>朱晓寒</w:t>
            </w:r>
          </w:p>
          <w:p>
            <w:pPr>
              <w:spacing w:line="400" w:lineRule="exact"/>
              <w:rPr>
                <w:rFonts w:hint="eastAsia"/>
                <w:sz w:val="21"/>
                <w:szCs w:val="21"/>
              </w:rPr>
            </w:pPr>
          </w:p>
          <w:p>
            <w:pPr>
              <w:spacing w:line="400" w:lineRule="exact"/>
              <w:rPr>
                <w:rFonts w:hint="eastAsia"/>
                <w:sz w:val="21"/>
                <w:szCs w:val="21"/>
              </w:rPr>
            </w:pPr>
            <w:r>
              <w:rPr>
                <w:rFonts w:hint="eastAsia"/>
                <w:sz w:val="21"/>
                <w:szCs w:val="21"/>
              </w:rPr>
              <w:t>见有：《不符合项报告》1份</w:t>
            </w:r>
            <w:r>
              <w:rPr>
                <w:rFonts w:hint="eastAsia" w:ascii="Times New Roman" w:hAnsi="Times New Roman" w:eastAsia="宋体" w:cs="Times New Roman"/>
                <w:sz w:val="21"/>
                <w:szCs w:val="21"/>
              </w:rPr>
              <w:t>，涉及</w:t>
            </w:r>
            <w:r>
              <w:rPr>
                <w:rFonts w:hint="eastAsia" w:ascii="Times New Roman" w:hAnsi="Times New Roman" w:eastAsia="宋体" w:cs="Times New Roman"/>
                <w:sz w:val="21"/>
                <w:szCs w:val="21"/>
                <w:lang w:val="en-US" w:eastAsia="zh-CN"/>
              </w:rPr>
              <w:t>行政部Q/E/S7.5.3</w:t>
            </w:r>
            <w:r>
              <w:rPr>
                <w:rFonts w:hint="eastAsia" w:ascii="Times New Roman" w:hAnsi="Times New Roman" w:eastAsia="宋体" w:cs="Times New Roman"/>
                <w:sz w:val="21"/>
                <w:szCs w:val="21"/>
              </w:rPr>
              <w:t>条款</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行政部人员未保管好文件，致使记录清单遗失</w:t>
            </w:r>
            <w:r>
              <w:rPr>
                <w:rFonts w:hint="eastAsia" w:ascii="Times New Roman" w:hAnsi="Times New Roman" w:eastAsia="宋体" w:cs="Times New Roman"/>
                <w:sz w:val="21"/>
                <w:szCs w:val="21"/>
              </w:rPr>
              <w:t>，针对该不符合项，已及时采取纠正措施后，经内审员验证关</w:t>
            </w:r>
            <w:r>
              <w:rPr>
                <w:rFonts w:hint="eastAsia"/>
                <w:sz w:val="21"/>
                <w:szCs w:val="21"/>
              </w:rPr>
              <w:t>闭。</w:t>
            </w:r>
          </w:p>
          <w:p>
            <w:pPr>
              <w:spacing w:line="380" w:lineRule="exact"/>
              <w:rPr>
                <w:rFonts w:hint="eastAsia" w:eastAsia="宋体"/>
                <w:sz w:val="21"/>
                <w:szCs w:val="21"/>
                <w:lang w:eastAsia="zh-CN"/>
              </w:rPr>
            </w:pPr>
            <w:r>
              <w:rPr>
                <w:rFonts w:hint="eastAsia"/>
                <w:sz w:val="21"/>
                <w:szCs w:val="21"/>
              </w:rPr>
              <w:t>有《内部审核报告》，有审核结论。</w:t>
            </w:r>
          </w:p>
        </w:tc>
        <w:tc>
          <w:tcPr>
            <w:tcW w:w="1567" w:type="dxa"/>
            <w:noWrap w:val="0"/>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9.2</w:t>
            </w:r>
          </w:p>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788" w:type="dxa"/>
            <w:noWrap w:val="0"/>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3</w:t>
            </w:r>
            <w:r>
              <w:rPr>
                <w:rFonts w:hint="eastAsia" w:ascii="宋体" w:hAnsi="宋体"/>
                <w:kern w:val="0"/>
                <w:sz w:val="21"/>
                <w:szCs w:val="21"/>
              </w:rPr>
              <w:t>月</w:t>
            </w:r>
            <w:r>
              <w:rPr>
                <w:rFonts w:hint="eastAsia" w:ascii="宋体" w:hAnsi="宋体"/>
                <w:kern w:val="0"/>
                <w:sz w:val="21"/>
                <w:szCs w:val="21"/>
                <w:lang w:val="en-US" w:eastAsia="zh-CN"/>
              </w:rPr>
              <w:t>27</w:t>
            </w:r>
            <w:r>
              <w:rPr>
                <w:rFonts w:hint="eastAsia" w:ascii="宋体" w:hAnsi="宋体"/>
                <w:kern w:val="0"/>
                <w:sz w:val="21"/>
                <w:szCs w:val="21"/>
              </w:rPr>
              <w:t>日由总经理主持完成。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提供主要输入材料有：各部门工作总结，输入信息基本充分和满足要求。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提出改进项：</w:t>
            </w:r>
          </w:p>
          <w:p>
            <w:pPr>
              <w:numPr>
                <w:ilvl w:val="0"/>
                <w:numId w:val="1"/>
              </w:numPr>
              <w:spacing w:line="360" w:lineRule="auto"/>
              <w:ind w:left="777" w:hanging="357"/>
              <w:rPr>
                <w:rFonts w:hint="eastAsia"/>
                <w:sz w:val="21"/>
                <w:szCs w:val="21"/>
              </w:rPr>
            </w:pPr>
            <w:r>
              <w:rPr>
                <w:rFonts w:hint="eastAsia"/>
                <w:sz w:val="21"/>
                <w:szCs w:val="21"/>
              </w:rPr>
              <w:t>进一步贯彻管理体系的各项规定，努力将各项工作深入和细致；</w:t>
            </w:r>
          </w:p>
          <w:p>
            <w:pPr>
              <w:numPr>
                <w:ilvl w:val="0"/>
                <w:numId w:val="1"/>
              </w:numPr>
              <w:spacing w:line="360" w:lineRule="auto"/>
              <w:ind w:left="777" w:hanging="357"/>
              <w:rPr>
                <w:rFonts w:hint="eastAsia"/>
                <w:sz w:val="21"/>
                <w:szCs w:val="21"/>
              </w:rPr>
            </w:pPr>
            <w:r>
              <w:rPr>
                <w:rFonts w:hint="eastAsia"/>
                <w:sz w:val="21"/>
                <w:szCs w:val="21"/>
              </w:rPr>
              <w:t>加强对实施有效性的审核，对不理解和不按文件规定实施的环节进行培训和考核；</w:t>
            </w:r>
          </w:p>
          <w:p>
            <w:pPr>
              <w:numPr>
                <w:ilvl w:val="0"/>
                <w:numId w:val="1"/>
              </w:numPr>
              <w:spacing w:line="360" w:lineRule="auto"/>
              <w:ind w:left="777" w:hanging="357"/>
              <w:rPr>
                <w:rFonts w:hint="eastAsia"/>
                <w:sz w:val="21"/>
                <w:szCs w:val="21"/>
              </w:rPr>
            </w:pPr>
            <w:r>
              <w:rPr>
                <w:rFonts w:hint="eastAsia"/>
                <w:sz w:val="21"/>
                <w:szCs w:val="21"/>
              </w:rPr>
              <w:t>通过对体系的进一步实施，努力提高全体员工的质量、环境、职业健康安全意识和工作的责任心。</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kern w:val="0"/>
                <w:sz w:val="21"/>
                <w:szCs w:val="21"/>
              </w:rPr>
              <w:t xml:space="preserve"> </w:t>
            </w:r>
          </w:p>
        </w:tc>
        <w:tc>
          <w:tcPr>
            <w:tcW w:w="1567" w:type="dxa"/>
            <w:noWrap w:val="0"/>
            <w:vAlign w:val="top"/>
          </w:tcPr>
          <w:p>
            <w:pPr>
              <w:adjustRightInd w:val="0"/>
              <w:snapToGrid w:val="0"/>
              <w:rPr>
                <w:rFonts w:hint="eastAsia" w:ascii="宋体" w:hAnsi="宋体" w:eastAsia="宋体" w:cs="宋体"/>
                <w:szCs w:val="21"/>
                <w:lang w:val="en-US" w:eastAsia="zh-CN"/>
              </w:rPr>
            </w:pPr>
            <w:r>
              <w:rPr>
                <w:rFonts w:hint="eastAsia" w:ascii="宋体" w:hAnsi="宋体"/>
                <w:szCs w:val="21"/>
              </w:rPr>
              <w:t>Q:</w:t>
            </w:r>
            <w:r>
              <w:rPr>
                <w:rFonts w:hint="eastAsia" w:ascii="宋体" w:hAnsi="宋体" w:cs="宋体"/>
                <w:szCs w:val="21"/>
              </w:rPr>
              <w:t>9.</w:t>
            </w:r>
            <w:r>
              <w:rPr>
                <w:rFonts w:hint="eastAsia" w:ascii="宋体" w:hAnsi="宋体" w:cs="宋体"/>
                <w:szCs w:val="21"/>
                <w:lang w:val="en-US" w:eastAsia="zh-CN"/>
              </w:rPr>
              <w:t>3</w:t>
            </w:r>
          </w:p>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788" w:type="dxa"/>
            <w:noWrap w:val="0"/>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567"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Q:10.2</w:t>
            </w:r>
          </w:p>
        </w:tc>
        <w:tc>
          <w:tcPr>
            <w:tcW w:w="788"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第二阶段重要审核点等相关内容</w:t>
            </w:r>
          </w:p>
        </w:tc>
        <w:tc>
          <w:tcPr>
            <w:tcW w:w="9261" w:type="dxa"/>
            <w:noWrap w:val="0"/>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通过一阶段对受审核方的管理、办公、生产现场巡视和观察，对管理体系绩效要求有重大影响的过程、活动、场所和现场运行进行观察、巡视及总体性评价，组织具备二阶段审核条件，可进行二阶段审核。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二阶段质量管理体系宜重点关注（客户需求识别、合同评审、方案设计、供方管理、产品交付等）。</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重点审核部门：研发部、市场部。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w:t>
            </w:r>
            <w:r>
              <w:rPr>
                <w:rFonts w:hint="eastAsia" w:ascii="宋体" w:hAnsi="宋体" w:eastAsia="宋体" w:cs="Times New Roman"/>
                <w:color w:val="auto"/>
                <w:szCs w:val="21"/>
                <w:highlight w:val="none"/>
                <w:lang w:val="en-US" w:eastAsia="zh-CN"/>
              </w:rPr>
              <w:t>计算机系统集成</w:t>
            </w:r>
            <w:r>
              <w:rPr>
                <w:rFonts w:hint="eastAsia" w:ascii="宋体" w:hAnsi="宋体" w:cs="Times New Roman"/>
                <w:color w:val="auto"/>
                <w:szCs w:val="21"/>
                <w:highlight w:val="none"/>
                <w:lang w:val="en-US" w:eastAsia="zh-CN"/>
              </w:rPr>
              <w:t>、软件开发</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产品生产、</w:t>
            </w:r>
            <w:r>
              <w:rPr>
                <w:rFonts w:hint="eastAsia" w:ascii="宋体" w:hAnsi="宋体" w:eastAsia="宋体" w:cs="Times New Roman"/>
                <w:color w:val="auto"/>
                <w:szCs w:val="21"/>
                <w:highlight w:val="none"/>
                <w:lang w:val="en-US" w:eastAsia="zh-CN"/>
              </w:rPr>
              <w:t>顾客满意、产品和服务放行、不合格产品和服务等。</w:t>
            </w:r>
          </w:p>
          <w:p>
            <w:pPr>
              <w:adjustRightInd w:val="0"/>
              <w:snapToGrid w:val="0"/>
              <w:rPr>
                <w:rFonts w:hint="eastAsia" w:ascii="宋体" w:hAnsi="宋体" w:cs="Times New Roman"/>
                <w:kern w:val="0"/>
                <w:sz w:val="21"/>
                <w:szCs w:val="21"/>
              </w:rPr>
            </w:pPr>
            <w:r>
              <w:rPr>
                <w:rFonts w:hint="eastAsia" w:ascii="宋体" w:hAnsi="宋体" w:cs="Times New Roman"/>
                <w:color w:val="auto"/>
                <w:szCs w:val="21"/>
                <w:highlight w:val="none"/>
                <w:lang w:val="en-US" w:eastAsia="zh-CN"/>
              </w:rPr>
              <w:t>重点审核场所：办公场所、生产场所。</w:t>
            </w:r>
          </w:p>
        </w:tc>
        <w:tc>
          <w:tcPr>
            <w:tcW w:w="1567" w:type="dxa"/>
            <w:noWrap w:val="0"/>
            <w:vAlign w:val="top"/>
          </w:tcPr>
          <w:p>
            <w:pPr>
              <w:spacing w:line="440" w:lineRule="exact"/>
              <w:jc w:val="center"/>
              <w:rPr>
                <w:rFonts w:ascii="宋体" w:hAnsi="宋体"/>
                <w:sz w:val="21"/>
                <w:szCs w:val="21"/>
              </w:rPr>
            </w:pPr>
          </w:p>
        </w:tc>
        <w:tc>
          <w:tcPr>
            <w:tcW w:w="788" w:type="dxa"/>
            <w:noWrap w:val="0"/>
            <w:vAlign w:val="top"/>
          </w:tcPr>
          <w:p>
            <w:pPr>
              <w:spacing w:line="440" w:lineRule="exact"/>
              <w:jc w:val="center"/>
              <w:rPr>
                <w:rFonts w:ascii="宋体" w:hAnsi="宋体"/>
                <w:sz w:val="21"/>
                <w:szCs w:val="21"/>
              </w:rPr>
            </w:pPr>
          </w:p>
        </w:tc>
      </w:tr>
    </w:tbl>
    <w:p>
      <w:pPr>
        <w:jc w:val="left"/>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5"/>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778"/>
        </w:tabs>
        <w:ind w:left="778" w:hanging="360"/>
      </w:pPr>
      <w:rPr>
        <w:rFonts w:hint="eastAsia"/>
      </w:rPr>
    </w:lvl>
    <w:lvl w:ilvl="1" w:tentative="0">
      <w:start w:val="1"/>
      <w:numFmt w:val="lowerLetter"/>
      <w:lvlText w:val="%2)"/>
      <w:lvlJc w:val="left"/>
      <w:pPr>
        <w:tabs>
          <w:tab w:val="left" w:pos="1258"/>
        </w:tabs>
        <w:ind w:left="1258" w:hanging="420"/>
      </w:pPr>
    </w:lvl>
    <w:lvl w:ilvl="2" w:tentative="0">
      <w:start w:val="1"/>
      <w:numFmt w:val="lowerRoman"/>
      <w:lvlText w:val="%3."/>
      <w:lvlJc w:val="right"/>
      <w:pPr>
        <w:tabs>
          <w:tab w:val="left" w:pos="1678"/>
        </w:tabs>
        <w:ind w:left="1678" w:hanging="420"/>
      </w:pPr>
    </w:lvl>
    <w:lvl w:ilvl="3" w:tentative="0">
      <w:start w:val="1"/>
      <w:numFmt w:val="decimal"/>
      <w:lvlText w:val="%4."/>
      <w:lvlJc w:val="left"/>
      <w:pPr>
        <w:tabs>
          <w:tab w:val="left" w:pos="2098"/>
        </w:tabs>
        <w:ind w:left="2098" w:hanging="420"/>
      </w:pPr>
    </w:lvl>
    <w:lvl w:ilvl="4" w:tentative="0">
      <w:start w:val="1"/>
      <w:numFmt w:val="lowerLetter"/>
      <w:lvlText w:val="%5)"/>
      <w:lvlJc w:val="left"/>
      <w:pPr>
        <w:tabs>
          <w:tab w:val="left" w:pos="2518"/>
        </w:tabs>
        <w:ind w:left="2518" w:hanging="420"/>
      </w:pPr>
    </w:lvl>
    <w:lvl w:ilvl="5" w:tentative="0">
      <w:start w:val="1"/>
      <w:numFmt w:val="lowerRoman"/>
      <w:lvlText w:val="%6."/>
      <w:lvlJc w:val="right"/>
      <w:pPr>
        <w:tabs>
          <w:tab w:val="left" w:pos="2938"/>
        </w:tabs>
        <w:ind w:left="2938" w:hanging="420"/>
      </w:pPr>
    </w:lvl>
    <w:lvl w:ilvl="6" w:tentative="0">
      <w:start w:val="1"/>
      <w:numFmt w:val="decimal"/>
      <w:lvlText w:val="%7."/>
      <w:lvlJc w:val="left"/>
      <w:pPr>
        <w:tabs>
          <w:tab w:val="left" w:pos="3358"/>
        </w:tabs>
        <w:ind w:left="3358" w:hanging="420"/>
      </w:pPr>
    </w:lvl>
    <w:lvl w:ilvl="7" w:tentative="0">
      <w:start w:val="1"/>
      <w:numFmt w:val="lowerLetter"/>
      <w:lvlText w:val="%8)"/>
      <w:lvlJc w:val="left"/>
      <w:pPr>
        <w:tabs>
          <w:tab w:val="left" w:pos="3778"/>
        </w:tabs>
        <w:ind w:left="3778" w:hanging="420"/>
      </w:pPr>
    </w:lvl>
    <w:lvl w:ilvl="8" w:tentative="0">
      <w:start w:val="1"/>
      <w:numFmt w:val="lowerRoman"/>
      <w:lvlText w:val="%9."/>
      <w:lvlJc w:val="right"/>
      <w:pPr>
        <w:tabs>
          <w:tab w:val="left" w:pos="4198"/>
        </w:tabs>
        <w:ind w:left="41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8824A1"/>
    <w:rsid w:val="0160041B"/>
    <w:rsid w:val="018D4A66"/>
    <w:rsid w:val="04182DFA"/>
    <w:rsid w:val="05987322"/>
    <w:rsid w:val="076E241E"/>
    <w:rsid w:val="0C6262D8"/>
    <w:rsid w:val="0C883374"/>
    <w:rsid w:val="0D61692F"/>
    <w:rsid w:val="11501222"/>
    <w:rsid w:val="14A773D8"/>
    <w:rsid w:val="150C321A"/>
    <w:rsid w:val="16341157"/>
    <w:rsid w:val="1A22011D"/>
    <w:rsid w:val="1DB200E3"/>
    <w:rsid w:val="1EAA2129"/>
    <w:rsid w:val="252F52D2"/>
    <w:rsid w:val="280F6983"/>
    <w:rsid w:val="2B8F2252"/>
    <w:rsid w:val="2BE60E48"/>
    <w:rsid w:val="2BEC1F96"/>
    <w:rsid w:val="2E513601"/>
    <w:rsid w:val="31EA350C"/>
    <w:rsid w:val="3AC75A43"/>
    <w:rsid w:val="3D155735"/>
    <w:rsid w:val="40390C58"/>
    <w:rsid w:val="470334B1"/>
    <w:rsid w:val="4A641845"/>
    <w:rsid w:val="519039A8"/>
    <w:rsid w:val="53065364"/>
    <w:rsid w:val="53192260"/>
    <w:rsid w:val="58C81F58"/>
    <w:rsid w:val="5A8E3F0A"/>
    <w:rsid w:val="5ED53EE9"/>
    <w:rsid w:val="5F0F17EF"/>
    <w:rsid w:val="61A622A8"/>
    <w:rsid w:val="61B93F2E"/>
    <w:rsid w:val="61BC7B27"/>
    <w:rsid w:val="633B4610"/>
    <w:rsid w:val="66311EE7"/>
    <w:rsid w:val="6C0A53B2"/>
    <w:rsid w:val="6C287CDA"/>
    <w:rsid w:val="6FAD7072"/>
    <w:rsid w:val="70F17F9E"/>
    <w:rsid w:val="74FF6C09"/>
    <w:rsid w:val="7A6508C1"/>
    <w:rsid w:val="7CC05DCA"/>
    <w:rsid w:val="7D110FE6"/>
    <w:rsid w:val="7D461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4</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2020-10-09T02:21:24Z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