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61"/>
        <w:gridCol w:w="948"/>
        <w:gridCol w:w="840"/>
        <w:gridCol w:w="648"/>
        <w:gridCol w:w="1828"/>
        <w:gridCol w:w="1297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重庆欧祥服饰有限公司</w:t>
            </w:r>
            <w:bookmarkEnd w:id="4"/>
          </w:p>
        </w:tc>
        <w:tc>
          <w:tcPr>
            <w:tcW w:w="129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Q：04.05.03;04.05.05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何春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Q：04.05.03;04.05.05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冉景洲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宋明珠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E:29.08.02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O:29.08.02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 xml:space="preserve">销售流程：客户需求----签订合同---进行采购----产品检验----交付客户---验收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 w:bidi="ar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 xml:space="preserve">  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 xml:space="preserve">                                    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>加工流程：合同签订----制版----剪裁----缝制----整烫----锁眼钉扣----检验----包装入库----交付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主要质量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风险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服装布料、规格尺寸不符合要求，作业过程员工可的意外伤害等；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  <w:lang w:val="en-US" w:eastAsia="zh-CN"/>
              </w:rPr>
              <w:t>销售风险：因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产品质量原因遭客户拒收，交付不准时，产品运输过程的交通事故等；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潜在火灾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固废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1"/>
                <w:szCs w:val="21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物体打击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伤害</w:t>
            </w:r>
            <w:r>
              <w:rPr>
                <w:rFonts w:hint="eastAsia"/>
                <w:sz w:val="21"/>
                <w:szCs w:val="21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产品执行标准: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>衬衫GB/T 2660-2008、男西服、大衣GB/T 2664-2009、女西服、大衣GB/T 2665-2009、道路作业人员安全标志服GB/T 25281-2010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主要质量要求：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val="en-US" w:eastAsia="zh-CN"/>
              </w:rPr>
              <w:t>规格、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尺寸、外观质量</w:t>
            </w:r>
            <w:bookmarkStart w:id="6" w:name="_GoBack"/>
            <w:bookmarkEnd w:id="6"/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关键控制点：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bidi="ar"/>
              </w:rPr>
              <w:t>整烫、粘合、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销售过程控制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26</w:t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26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090ECE"/>
    <w:rsid w:val="09CD7B29"/>
    <w:rsid w:val="39687960"/>
    <w:rsid w:val="6CE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6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2020-09-27T02:31:48Z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