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jc w:val="right"/>
        <w:rPr>
          <w:rFonts w:hint="eastAsia"/>
          <w:b/>
        </w:rPr>
      </w:pPr>
    </w:p>
    <w:p>
      <w:pPr>
        <w:snapToGrid w:val="0"/>
        <w:spacing w:line="480" w:lineRule="auto"/>
        <w:jc w:val="right"/>
        <w:rPr>
          <w:b/>
        </w:rPr>
      </w:pPr>
      <w:r>
        <w:rPr>
          <w:rFonts w:hint="eastAsia"/>
          <w:b/>
        </w:rPr>
        <w:t>合同编号</w:t>
      </w:r>
      <w:r>
        <w:rPr>
          <w:rFonts w:hint="eastAsia"/>
          <w:b/>
          <w:lang w:eastAsia="zh-CN"/>
        </w:rPr>
        <w:t>：</w:t>
      </w:r>
      <w:r>
        <w:rPr>
          <w:rFonts w:hint="eastAsia"/>
          <w:b/>
        </w:rPr>
        <w:t>0</w:t>
      </w:r>
      <w:r>
        <w:rPr>
          <w:rFonts w:hint="eastAsia"/>
          <w:b/>
          <w:lang w:val="en-US" w:eastAsia="zh-CN"/>
        </w:rPr>
        <w:t>080</w:t>
      </w:r>
      <w:r>
        <w:rPr>
          <w:rFonts w:hint="eastAsia"/>
          <w:b/>
        </w:rPr>
        <w:t>-2018-</w:t>
      </w:r>
      <w:r>
        <w:rPr>
          <w:rFonts w:hint="eastAsia"/>
          <w:b/>
          <w:lang w:val="en-US" w:eastAsia="zh-CN"/>
        </w:rPr>
        <w:t>Q</w:t>
      </w:r>
      <w:r>
        <w:rPr>
          <w:rFonts w:hint="eastAsia"/>
          <w:b/>
        </w:rPr>
        <w:t>EO</w:t>
      </w: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34.1pt;width:155.1pt;z-index:251658240;mso-width-relative:page;mso-height-relative:page;" filled="f" o:preferrelative="t" stroked="f" coordsize="21600,21600">
            <v:path/>
            <v:fill on="f" focussize="0,0"/>
            <v:stroke on="f"/>
            <v:imagedata r:id="rId5" o:title=""/>
            <o:lock v:ext="edit" aspectratio="t"/>
          </v:shape>
        </w:pict>
      </w:r>
    </w:p>
    <w:p>
      <w:pPr>
        <w:snapToGrid w:val="0"/>
        <w:spacing w:line="480" w:lineRule="auto"/>
        <w:jc w:val="center"/>
        <w:rPr>
          <w:rFonts w:eastAsia="隶书"/>
          <w:sz w:val="52"/>
        </w:rPr>
      </w:pPr>
    </w:p>
    <w:p>
      <w:pPr>
        <w:snapToGrid w:val="0"/>
        <w:jc w:val="center"/>
        <w:rPr>
          <w:rFonts w:hint="eastAsia" w:ascii="楷体_GB2312" w:eastAsia="楷体_GB2312"/>
          <w:b/>
          <w:sz w:val="80"/>
          <w:szCs w:val="80"/>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hint="eastAsia" w:ascii="楷体" w:hAnsi="楷体" w:eastAsia="楷体" w:cs="Times New Roman"/>
          <w:b/>
          <w:color w:val="000000"/>
          <w:sz w:val="32"/>
          <w:szCs w:val="32"/>
          <w:lang w:eastAsia="zh-CN"/>
        </w:rPr>
      </w:pPr>
      <w:r>
        <w:rPr>
          <w:rFonts w:hint="eastAsia" w:ascii="楷体" w:hAnsi="楷体" w:eastAsia="楷体"/>
          <w:b/>
          <w:color w:val="000000"/>
          <w:sz w:val="32"/>
          <w:szCs w:val="32"/>
        </w:rPr>
        <w:t>受审核方：</w:t>
      </w:r>
      <w:r>
        <w:rPr>
          <w:rFonts w:hint="eastAsia" w:ascii="楷体" w:hAnsi="楷体" w:eastAsia="楷体" w:cs="Times New Roman"/>
          <w:b/>
          <w:color w:val="000000"/>
          <w:sz w:val="32"/>
          <w:szCs w:val="32"/>
          <w:lang w:eastAsia="zh-CN"/>
        </w:rPr>
        <w:t>河北华泰复合管道有限公司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0" w:name="QJ勾选"/>
      <w:r>
        <w:rPr>
          <w:rFonts w:hint="eastAsia" w:ascii="楷体" w:hAnsi="楷体" w:eastAsia="楷体"/>
          <w:b/>
          <w:color w:val="000000"/>
          <w:sz w:val="32"/>
          <w:szCs w:val="32"/>
        </w:rPr>
        <w:t>□</w:t>
      </w:r>
      <w:bookmarkEnd w:id="0"/>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1" w:name="E勾选"/>
      <w:r>
        <w:rPr>
          <w:rFonts w:hint="eastAsia" w:ascii="楷体" w:hAnsi="楷体" w:eastAsia="楷体"/>
          <w:b/>
          <w:color w:val="000000"/>
          <w:sz w:val="32"/>
          <w:szCs w:val="32"/>
        </w:rPr>
        <w:t>■</w:t>
      </w:r>
      <w:bookmarkEnd w:id="1"/>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S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101"/>
        <w:gridCol w:w="1002"/>
        <w:gridCol w:w="252"/>
        <w:gridCol w:w="660"/>
        <w:gridCol w:w="1621"/>
        <w:gridCol w:w="137"/>
        <w:gridCol w:w="540"/>
        <w:gridCol w:w="1015"/>
        <w:gridCol w:w="400"/>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color w:val="000000" w:themeColor="text1"/>
                <w:sz w:val="20"/>
                <w:szCs w:val="20"/>
              </w:rPr>
              <w:t>审核方名称</w:t>
            </w:r>
          </w:p>
        </w:tc>
        <w:tc>
          <w:tcPr>
            <w:tcW w:w="8275" w:type="dxa"/>
            <w:gridSpan w:val="11"/>
            <w:vAlign w:val="center"/>
          </w:tcPr>
          <w:p>
            <w:pPr>
              <w:rPr>
                <w:b/>
                <w:sz w:val="21"/>
                <w:szCs w:val="21"/>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color w:val="000000" w:themeColor="text1"/>
                <w:sz w:val="20"/>
                <w:szCs w:val="20"/>
              </w:rPr>
              <w:t>审核方地址</w:t>
            </w:r>
          </w:p>
        </w:tc>
        <w:tc>
          <w:tcPr>
            <w:tcW w:w="5596" w:type="dxa"/>
            <w:gridSpan w:val="8"/>
            <w:vAlign w:val="center"/>
          </w:tcPr>
          <w:p>
            <w:pPr>
              <w:rPr>
                <w:b/>
                <w:sz w:val="21"/>
                <w:szCs w:val="21"/>
              </w:rPr>
            </w:pPr>
            <w:r>
              <w:rPr>
                <w:rFonts w:hint="eastAsia"/>
                <w:b/>
                <w:color w:val="000000" w:themeColor="text1"/>
                <w:sz w:val="20"/>
                <w:szCs w:val="20"/>
              </w:rPr>
              <w:t>北京市朝阳区北苑路168号1号楼16层1603</w:t>
            </w:r>
          </w:p>
        </w:tc>
        <w:tc>
          <w:tcPr>
            <w:tcW w:w="1015" w:type="dxa"/>
            <w:vAlign w:val="center"/>
          </w:tcPr>
          <w:p>
            <w:pPr>
              <w:rPr>
                <w:b/>
                <w:sz w:val="21"/>
                <w:szCs w:val="21"/>
              </w:rPr>
            </w:pPr>
            <w:r>
              <w:rPr>
                <w:rFonts w:hint="eastAsia"/>
                <w:b/>
                <w:color w:val="000000" w:themeColor="text1"/>
                <w:sz w:val="20"/>
                <w:szCs w:val="20"/>
              </w:rPr>
              <w:t>邮编</w:t>
            </w:r>
          </w:p>
        </w:tc>
        <w:tc>
          <w:tcPr>
            <w:tcW w:w="1664" w:type="dxa"/>
            <w:gridSpan w:val="2"/>
            <w:vAlign w:val="center"/>
          </w:tcPr>
          <w:p>
            <w:pPr>
              <w:rPr>
                <w:b/>
                <w:sz w:val="21"/>
                <w:szCs w:val="21"/>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color w:val="000000" w:themeColor="text1"/>
                <w:sz w:val="20"/>
                <w:szCs w:val="20"/>
              </w:rPr>
              <w:t>联系电话</w:t>
            </w:r>
          </w:p>
        </w:tc>
        <w:tc>
          <w:tcPr>
            <w:tcW w:w="2386" w:type="dxa"/>
            <w:gridSpan w:val="3"/>
            <w:vAlign w:val="center"/>
          </w:tcPr>
          <w:p>
            <w:pPr>
              <w:rPr>
                <w:b/>
                <w:sz w:val="21"/>
                <w:szCs w:val="21"/>
              </w:rPr>
            </w:pPr>
            <w:r>
              <w:rPr>
                <w:rFonts w:hint="eastAsia"/>
                <w:b/>
                <w:color w:val="000000" w:themeColor="text1"/>
                <w:sz w:val="20"/>
                <w:szCs w:val="20"/>
              </w:rPr>
              <w:t>010-51095332</w:t>
            </w:r>
          </w:p>
        </w:tc>
        <w:tc>
          <w:tcPr>
            <w:tcW w:w="912" w:type="dxa"/>
            <w:gridSpan w:val="2"/>
            <w:vAlign w:val="center"/>
          </w:tcPr>
          <w:p>
            <w:r>
              <w:rPr>
                <w:rFonts w:hint="eastAsia"/>
                <w:b/>
                <w:color w:val="000000" w:themeColor="text1"/>
                <w:sz w:val="20"/>
                <w:szCs w:val="20"/>
              </w:rPr>
              <w:t>传真</w:t>
            </w:r>
          </w:p>
        </w:tc>
        <w:tc>
          <w:tcPr>
            <w:tcW w:w="1621" w:type="dxa"/>
            <w:vAlign w:val="center"/>
          </w:tcPr>
          <w:p>
            <w:r>
              <w:rPr>
                <w:b/>
                <w:color w:val="000000" w:themeColor="text1"/>
                <w:sz w:val="20"/>
                <w:szCs w:val="20"/>
              </w:rPr>
              <w:t>010-5351 6258</w:t>
            </w:r>
          </w:p>
        </w:tc>
        <w:tc>
          <w:tcPr>
            <w:tcW w:w="677" w:type="dxa"/>
            <w:gridSpan w:val="2"/>
            <w:vAlign w:val="center"/>
          </w:tcPr>
          <w:p>
            <w:r>
              <w:rPr>
                <w:rFonts w:hint="eastAsia"/>
                <w:b/>
                <w:color w:val="000000" w:themeColor="text1"/>
                <w:sz w:val="20"/>
                <w:szCs w:val="20"/>
              </w:rPr>
              <w:t>邮箱</w:t>
            </w:r>
          </w:p>
        </w:tc>
        <w:tc>
          <w:tcPr>
            <w:tcW w:w="2679" w:type="dxa"/>
            <w:gridSpan w:val="3"/>
            <w:vAlign w:val="center"/>
          </w:tcPr>
          <w:p>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3"/>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101" w:type="dxa"/>
            <w:vAlign w:val="center"/>
          </w:tcPr>
          <w:p>
            <w:pPr>
              <w:jc w:val="center"/>
              <w:rPr>
                <w:b/>
                <w:sz w:val="21"/>
                <w:szCs w:val="21"/>
              </w:rPr>
            </w:pPr>
            <w:r>
              <w:rPr>
                <w:rFonts w:hint="eastAsia"/>
                <w:b/>
                <w:sz w:val="21"/>
                <w:szCs w:val="21"/>
              </w:rPr>
              <w:t>职务</w:t>
            </w:r>
          </w:p>
        </w:tc>
        <w:tc>
          <w:tcPr>
            <w:tcW w:w="1254" w:type="dxa"/>
            <w:gridSpan w:val="2"/>
            <w:vAlign w:val="center"/>
          </w:tcPr>
          <w:p>
            <w:pPr>
              <w:jc w:val="center"/>
              <w:rPr>
                <w:b/>
                <w:sz w:val="21"/>
                <w:szCs w:val="21"/>
              </w:rPr>
            </w:pPr>
            <w:r>
              <w:rPr>
                <w:rFonts w:hint="eastAsia"/>
                <w:b/>
                <w:sz w:val="21"/>
                <w:szCs w:val="21"/>
              </w:rPr>
              <w:t>注册级别</w:t>
            </w:r>
          </w:p>
        </w:tc>
        <w:tc>
          <w:tcPr>
            <w:tcW w:w="2418" w:type="dxa"/>
            <w:gridSpan w:val="3"/>
            <w:vAlign w:val="center"/>
          </w:tcPr>
          <w:p>
            <w:pPr>
              <w:jc w:val="center"/>
              <w:rPr>
                <w:b/>
                <w:sz w:val="21"/>
                <w:szCs w:val="21"/>
              </w:rPr>
            </w:pPr>
            <w:r>
              <w:rPr>
                <w:rFonts w:hint="eastAsia"/>
                <w:b/>
                <w:sz w:val="21"/>
                <w:szCs w:val="21"/>
              </w:rPr>
              <w:t>审核员注册号</w:t>
            </w:r>
          </w:p>
        </w:tc>
        <w:tc>
          <w:tcPr>
            <w:tcW w:w="1955" w:type="dxa"/>
            <w:gridSpan w:val="3"/>
            <w:vAlign w:val="center"/>
          </w:tcPr>
          <w:p>
            <w:pPr>
              <w:jc w:val="center"/>
              <w:rPr>
                <w:b/>
                <w:sz w:val="21"/>
                <w:szCs w:val="21"/>
              </w:rPr>
            </w:pPr>
            <w:r>
              <w:rPr>
                <w:rFonts w:hint="eastAsia"/>
                <w:b/>
                <w:sz w:val="21"/>
                <w:szCs w:val="21"/>
              </w:rPr>
              <w:t>专业代码</w:t>
            </w:r>
          </w:p>
        </w:tc>
        <w:tc>
          <w:tcPr>
            <w:tcW w:w="1264"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rFonts w:ascii="Times New Roman" w:hAnsi="Times New Roman" w:eastAsia="宋体" w:cs="Times New Roman"/>
                <w:kern w:val="2"/>
                <w:sz w:val="20"/>
                <w:lang w:val="en-US" w:eastAsia="zh-CN" w:bidi="ar-SA"/>
              </w:rPr>
            </w:pPr>
            <w:r>
              <w:rPr>
                <w:sz w:val="20"/>
              </w:rPr>
              <w:t>吉洁</w:t>
            </w:r>
          </w:p>
        </w:tc>
        <w:tc>
          <w:tcPr>
            <w:tcW w:w="824" w:type="dxa"/>
            <w:gridSpan w:val="2"/>
            <w:vAlign w:val="center"/>
          </w:tcPr>
          <w:p>
            <w:pPr>
              <w:jc w:val="center"/>
              <w:rPr>
                <w:rFonts w:ascii="Times New Roman" w:hAnsi="Times New Roman" w:eastAsia="宋体" w:cs="Times New Roman"/>
                <w:kern w:val="2"/>
                <w:sz w:val="20"/>
                <w:lang w:val="en-US" w:eastAsia="zh-CN" w:bidi="ar-SA"/>
              </w:rPr>
            </w:pPr>
            <w:r>
              <w:rPr>
                <w:sz w:val="20"/>
              </w:rPr>
              <w:t>女</w:t>
            </w:r>
          </w:p>
        </w:tc>
        <w:tc>
          <w:tcPr>
            <w:tcW w:w="1101"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1254" w:type="dxa"/>
            <w:gridSpan w:val="2"/>
            <w:vAlign w:val="center"/>
          </w:tcPr>
          <w:p>
            <w:pPr>
              <w:jc w:val="center"/>
              <w:rPr>
                <w:sz w:val="20"/>
              </w:rPr>
            </w:pPr>
            <w:r>
              <w:rPr>
                <w:sz w:val="20"/>
              </w:rPr>
              <w:t>Q:审核员</w:t>
            </w:r>
          </w:p>
          <w:p>
            <w:pPr>
              <w:jc w:val="center"/>
              <w:rPr>
                <w:sz w:val="20"/>
              </w:rPr>
            </w:pPr>
            <w:r>
              <w:rPr>
                <w:sz w:val="20"/>
              </w:rPr>
              <w:t>E:审核员</w:t>
            </w:r>
          </w:p>
          <w:p>
            <w:pPr>
              <w:jc w:val="center"/>
              <w:rPr>
                <w:rFonts w:ascii="Times New Roman" w:hAnsi="Times New Roman" w:eastAsia="宋体" w:cs="Times New Roman"/>
                <w:kern w:val="2"/>
                <w:sz w:val="20"/>
                <w:lang w:val="en-US" w:eastAsia="zh-CN" w:bidi="ar-SA"/>
              </w:rPr>
            </w:pPr>
            <w:r>
              <w:rPr>
                <w:sz w:val="20"/>
              </w:rPr>
              <w:t>O:审核员</w:t>
            </w:r>
          </w:p>
        </w:tc>
        <w:tc>
          <w:tcPr>
            <w:tcW w:w="2418" w:type="dxa"/>
            <w:gridSpan w:val="3"/>
            <w:vAlign w:val="center"/>
          </w:tcPr>
          <w:p>
            <w:pPr>
              <w:jc w:val="center"/>
              <w:rPr>
                <w:sz w:val="20"/>
              </w:rPr>
            </w:pPr>
            <w:r>
              <w:rPr>
                <w:sz w:val="20"/>
              </w:rPr>
              <w:t>2019-N1QMS-3022240</w:t>
            </w:r>
          </w:p>
          <w:p>
            <w:pPr>
              <w:jc w:val="center"/>
              <w:rPr>
                <w:sz w:val="20"/>
              </w:rPr>
            </w:pPr>
            <w:r>
              <w:rPr>
                <w:sz w:val="20"/>
              </w:rPr>
              <w:t>2020-N1EMS-3022240</w:t>
            </w:r>
          </w:p>
          <w:p>
            <w:pPr>
              <w:jc w:val="center"/>
              <w:rPr>
                <w:rFonts w:ascii="Times New Roman" w:hAnsi="Times New Roman" w:eastAsia="宋体" w:cs="Times New Roman"/>
                <w:kern w:val="2"/>
                <w:sz w:val="20"/>
                <w:lang w:val="en-US" w:eastAsia="zh-CN" w:bidi="ar-SA"/>
              </w:rPr>
            </w:pPr>
            <w:r>
              <w:rPr>
                <w:sz w:val="20"/>
              </w:rPr>
              <w:t>2020-N1OHSMS-3022240</w:t>
            </w:r>
          </w:p>
        </w:tc>
        <w:tc>
          <w:tcPr>
            <w:tcW w:w="1955" w:type="dxa"/>
            <w:gridSpan w:val="3"/>
            <w:vAlign w:val="center"/>
          </w:tcPr>
          <w:p>
            <w:pPr>
              <w:jc w:val="center"/>
              <w:rPr>
                <w:rFonts w:hint="eastAsia" w:ascii="Times New Roman" w:hAnsi="Times New Roman" w:eastAsia="宋体" w:cs="Times New Roman"/>
                <w:kern w:val="2"/>
                <w:sz w:val="20"/>
                <w:lang w:val="en-US" w:eastAsia="zh-CN" w:bidi="ar-SA"/>
              </w:rPr>
            </w:pPr>
            <w:r>
              <w:rPr>
                <w:sz w:val="20"/>
              </w:rPr>
              <w:t>Q</w:t>
            </w:r>
            <w:r>
              <w:rPr>
                <w:rFonts w:hint="eastAsia"/>
                <w:sz w:val="20"/>
                <w:lang w:val="en-US" w:eastAsia="zh-CN"/>
              </w:rPr>
              <w:t>EO</w:t>
            </w:r>
            <w:r>
              <w:rPr>
                <w:sz w:val="20"/>
              </w:rPr>
              <w:t>:14.01.02,14.02.01,18.01.03,29.12.00</w:t>
            </w:r>
          </w:p>
        </w:tc>
        <w:tc>
          <w:tcPr>
            <w:tcW w:w="1264" w:type="dxa"/>
            <w:vAlign w:val="center"/>
          </w:tcPr>
          <w:p>
            <w:pPr>
              <w:jc w:val="center"/>
              <w:rPr>
                <w:sz w:val="20"/>
                <w:szCs w:val="22"/>
              </w:rPr>
            </w:pPr>
            <w:r>
              <w:rPr>
                <w:sz w:val="20"/>
                <w:szCs w:val="22"/>
              </w:rPr>
              <w:t>ISC-22240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rFonts w:ascii="Times New Roman" w:hAnsi="Times New Roman" w:eastAsia="宋体" w:cs="Times New Roman"/>
                <w:kern w:val="2"/>
                <w:sz w:val="20"/>
                <w:lang w:val="en-US" w:eastAsia="zh-CN" w:bidi="ar-SA"/>
              </w:rPr>
            </w:pPr>
            <w:r>
              <w:rPr>
                <w:sz w:val="20"/>
              </w:rPr>
              <w:t>周文廷</w:t>
            </w:r>
          </w:p>
        </w:tc>
        <w:tc>
          <w:tcPr>
            <w:tcW w:w="824" w:type="dxa"/>
            <w:gridSpan w:val="2"/>
            <w:vAlign w:val="center"/>
          </w:tcPr>
          <w:p>
            <w:pPr>
              <w:jc w:val="center"/>
              <w:rPr>
                <w:rFonts w:ascii="Times New Roman" w:hAnsi="Times New Roman" w:eastAsia="宋体" w:cs="Times New Roman"/>
                <w:kern w:val="2"/>
                <w:sz w:val="20"/>
                <w:lang w:val="en-US" w:eastAsia="zh-CN" w:bidi="ar-SA"/>
              </w:rPr>
            </w:pPr>
            <w:r>
              <w:rPr>
                <w:sz w:val="20"/>
              </w:rPr>
              <w:t>男</w:t>
            </w:r>
          </w:p>
        </w:tc>
        <w:tc>
          <w:tcPr>
            <w:tcW w:w="1101"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1254" w:type="dxa"/>
            <w:gridSpan w:val="2"/>
            <w:vAlign w:val="center"/>
          </w:tcPr>
          <w:p>
            <w:pPr>
              <w:jc w:val="center"/>
              <w:rPr>
                <w:rFonts w:ascii="Times New Roman" w:hAnsi="Times New Roman" w:eastAsia="宋体" w:cs="Times New Roman"/>
                <w:kern w:val="2"/>
                <w:sz w:val="20"/>
                <w:lang w:val="en-US" w:eastAsia="zh-CN" w:bidi="ar-SA"/>
              </w:rPr>
            </w:pPr>
            <w:r>
              <w:rPr>
                <w:sz w:val="20"/>
              </w:rPr>
              <w:t>Q:审核员</w:t>
            </w:r>
          </w:p>
        </w:tc>
        <w:tc>
          <w:tcPr>
            <w:tcW w:w="2418" w:type="dxa"/>
            <w:gridSpan w:val="3"/>
            <w:vAlign w:val="center"/>
          </w:tcPr>
          <w:p>
            <w:pPr>
              <w:jc w:val="center"/>
              <w:rPr>
                <w:rFonts w:hint="default" w:ascii="Times New Roman" w:hAnsi="Times New Roman" w:eastAsia="宋体" w:cs="Times New Roman"/>
                <w:kern w:val="2"/>
                <w:sz w:val="20"/>
                <w:lang w:val="en-US" w:eastAsia="zh-CN" w:bidi="ar-SA"/>
              </w:rPr>
            </w:pPr>
            <w:r>
              <w:rPr>
                <w:sz w:val="20"/>
              </w:rPr>
              <w:t>2019-N1QMS-1244880</w:t>
            </w:r>
          </w:p>
        </w:tc>
        <w:tc>
          <w:tcPr>
            <w:tcW w:w="1955" w:type="dxa"/>
            <w:gridSpan w:val="3"/>
            <w:vAlign w:val="center"/>
          </w:tcPr>
          <w:p>
            <w:pPr>
              <w:jc w:val="center"/>
              <w:rPr>
                <w:rFonts w:hint="eastAsia" w:ascii="Times New Roman" w:hAnsi="Times New Roman" w:eastAsia="宋体" w:cs="Times New Roman"/>
                <w:kern w:val="2"/>
                <w:sz w:val="20"/>
                <w:lang w:val="en-US" w:eastAsia="zh-CN" w:bidi="ar-SA"/>
              </w:rPr>
            </w:pPr>
            <w:r>
              <w:rPr>
                <w:sz w:val="20"/>
              </w:rPr>
              <w:t>Q:14.01.02,14.02.01,18.01.03,29.12.00</w:t>
            </w:r>
          </w:p>
        </w:tc>
        <w:tc>
          <w:tcPr>
            <w:tcW w:w="1264" w:type="dxa"/>
            <w:vAlign w:val="center"/>
          </w:tcPr>
          <w:p>
            <w:pPr>
              <w:jc w:val="center"/>
              <w:rPr>
                <w:sz w:val="20"/>
                <w:szCs w:val="22"/>
              </w:rPr>
            </w:pPr>
            <w:r>
              <w:rPr>
                <w:sz w:val="20"/>
                <w:szCs w:val="22"/>
              </w:rPr>
              <w:t>ISC-244880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3"/>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101" w:type="dxa"/>
            <w:vAlign w:val="center"/>
          </w:tcPr>
          <w:p>
            <w:pPr>
              <w:jc w:val="center"/>
              <w:rPr>
                <w:b/>
                <w:sz w:val="21"/>
                <w:szCs w:val="21"/>
              </w:rPr>
            </w:pPr>
            <w:r>
              <w:rPr>
                <w:rFonts w:hint="eastAsia"/>
                <w:b/>
                <w:sz w:val="21"/>
                <w:szCs w:val="21"/>
              </w:rPr>
              <w:t>角色</w:t>
            </w:r>
          </w:p>
        </w:tc>
        <w:tc>
          <w:tcPr>
            <w:tcW w:w="6891" w:type="dxa"/>
            <w:gridSpan w:val="9"/>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rFonts w:hint="eastAsia" w:eastAsia="宋体"/>
                <w:b/>
                <w:sz w:val="21"/>
                <w:szCs w:val="21"/>
                <w:lang w:val="en-US" w:eastAsia="zh-CN"/>
              </w:rPr>
            </w:pPr>
            <w:r>
              <w:rPr>
                <w:rFonts w:hint="eastAsia"/>
                <w:b/>
                <w:sz w:val="21"/>
                <w:szCs w:val="21"/>
                <w:lang w:val="en-US" w:eastAsia="zh-CN"/>
              </w:rPr>
              <w:t>/</w:t>
            </w:r>
          </w:p>
        </w:tc>
        <w:tc>
          <w:tcPr>
            <w:tcW w:w="824" w:type="dxa"/>
            <w:gridSpan w:val="2"/>
            <w:vAlign w:val="center"/>
          </w:tcPr>
          <w:p>
            <w:pPr>
              <w:jc w:val="center"/>
              <w:rPr>
                <w:b/>
                <w:sz w:val="21"/>
                <w:szCs w:val="21"/>
              </w:rPr>
            </w:pPr>
          </w:p>
        </w:tc>
        <w:tc>
          <w:tcPr>
            <w:tcW w:w="1101" w:type="dxa"/>
            <w:vAlign w:val="center"/>
          </w:tcPr>
          <w:p>
            <w:pPr>
              <w:jc w:val="center"/>
              <w:rPr>
                <w:b/>
                <w:sz w:val="21"/>
                <w:szCs w:val="21"/>
              </w:rPr>
            </w:pPr>
          </w:p>
        </w:tc>
        <w:tc>
          <w:tcPr>
            <w:tcW w:w="6891" w:type="dxa"/>
            <w:gridSpan w:val="9"/>
            <w:vAlign w:val="center"/>
          </w:tcPr>
          <w:p>
            <w:pPr>
              <w:rPr>
                <w:b/>
                <w:sz w:val="21"/>
                <w:szCs w:val="21"/>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3"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w:t>
      </w:r>
      <w:r>
        <w:rPr>
          <w:rFonts w:hint="eastAsia" w:ascii="宋体" w:hAnsi="宋体"/>
          <w:b/>
          <w:bCs/>
          <w:sz w:val="20"/>
          <w:u w:val="single"/>
        </w:rPr>
        <w:t>验证组织管理体系是否持续有效运行，以确定是否推荐保持认证注册资格</w:t>
      </w:r>
      <w:r>
        <w:rPr>
          <w:rFonts w:hint="eastAsia"/>
          <w:b/>
          <w:sz w:val="21"/>
          <w:szCs w:val="21"/>
        </w:rPr>
        <w:t>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lang w:eastAsia="zh-CN"/>
        </w:rPr>
        <w:t>☑</w:t>
      </w:r>
      <w:r>
        <w:rPr>
          <w:rFonts w:hint="eastAsia"/>
          <w:b/>
          <w:sz w:val="21"/>
          <w:szCs w:val="21"/>
        </w:rPr>
        <w:t>扩大认证范围：</w:t>
      </w:r>
    </w:p>
    <w:p>
      <w:pPr>
        <w:tabs>
          <w:tab w:val="left" w:pos="645"/>
        </w:tabs>
        <w:rPr>
          <w:rFonts w:hint="eastAsia"/>
          <w:b/>
          <w:sz w:val="21"/>
          <w:szCs w:val="21"/>
        </w:rPr>
      </w:pPr>
      <w:r>
        <w:rPr>
          <w:rFonts w:hint="eastAsia"/>
          <w:b/>
          <w:sz w:val="21"/>
          <w:szCs w:val="21"/>
        </w:rPr>
        <w:t>□其它：__________</w:t>
      </w:r>
      <w:bookmarkEnd w:id="3"/>
      <w:r>
        <w:rPr>
          <w:rFonts w:hint="eastAsia"/>
          <w:b/>
          <w:sz w:val="21"/>
          <w:szCs w:val="21"/>
        </w:rPr>
        <w:t xml:space="preserve"> </w:t>
      </w:r>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r>
        <w:rPr>
          <w:rFonts w:hint="eastAsia"/>
          <w:b/>
          <w:sz w:val="21"/>
          <w:szCs w:val="21"/>
        </w:rPr>
        <w:t>■ GB/T 19001</w:t>
      </w:r>
      <w:r>
        <w:rPr>
          <w:rFonts w:hint="eastAsia"/>
          <w:b/>
          <w:sz w:val="21"/>
          <w:szCs w:val="21"/>
          <w:lang w:val="en-US" w:eastAsia="zh-CN"/>
        </w:rPr>
        <w:t>-</w:t>
      </w:r>
      <w:r>
        <w:rPr>
          <w:rFonts w:hint="eastAsia"/>
          <w:b/>
          <w:sz w:val="21"/>
          <w:szCs w:val="21"/>
        </w:rPr>
        <w:t>2016 idt ISO 9001:2015标准</w:t>
      </w:r>
      <w:r>
        <w:rPr>
          <w:rFonts w:hint="eastAsia"/>
          <w:b/>
          <w:sz w:val="21"/>
          <w:szCs w:val="21"/>
          <w:lang w:eastAsia="zh-CN"/>
        </w:rPr>
        <w:t>，</w:t>
      </w:r>
      <w:r>
        <w:rPr>
          <w:rFonts w:hint="eastAsia"/>
          <w:b/>
          <w:sz w:val="21"/>
          <w:szCs w:val="21"/>
        </w:rPr>
        <w:t xml:space="preserve">不适用条款: </w:t>
      </w:r>
      <w:r>
        <w:rPr>
          <w:rFonts w:hint="eastAsia"/>
          <w:b/>
          <w:sz w:val="21"/>
          <w:szCs w:val="21"/>
          <w:lang w:val="en-US" w:eastAsia="zh-CN"/>
        </w:rPr>
        <w:t>8.3</w:t>
      </w:r>
    </w:p>
    <w:p>
      <w:pPr>
        <w:tabs>
          <w:tab w:val="left" w:pos="645"/>
        </w:tabs>
        <w:rPr>
          <w:b/>
          <w:sz w:val="21"/>
          <w:szCs w:val="21"/>
        </w:rPr>
      </w:pPr>
      <w:bookmarkStart w:id="4" w:name="QJ勾选Add"/>
      <w:r>
        <w:rPr>
          <w:rFonts w:hint="eastAsia"/>
          <w:b/>
          <w:sz w:val="21"/>
          <w:szCs w:val="21"/>
        </w:rPr>
        <w:t>□</w:t>
      </w:r>
      <w:bookmarkEnd w:id="4"/>
      <w:r>
        <w:rPr>
          <w:rFonts w:hint="eastAsia"/>
          <w:b/>
          <w:sz w:val="21"/>
          <w:szCs w:val="21"/>
        </w:rPr>
        <w:t xml:space="preserve"> GB/T 50430-2017标准不适用条款: </w:t>
      </w:r>
    </w:p>
    <w:p>
      <w:pPr>
        <w:tabs>
          <w:tab w:val="left" w:pos="645"/>
        </w:tabs>
        <w:rPr>
          <w:b/>
          <w:sz w:val="21"/>
          <w:szCs w:val="21"/>
        </w:rPr>
      </w:pPr>
      <w:bookmarkStart w:id="5" w:name="E勾选Add"/>
      <w:r>
        <w:rPr>
          <w:rFonts w:hint="eastAsia"/>
          <w:b/>
          <w:sz w:val="21"/>
          <w:szCs w:val="21"/>
        </w:rPr>
        <w:t>■</w:t>
      </w:r>
      <w:bookmarkEnd w:id="5"/>
      <w:r>
        <w:rPr>
          <w:rFonts w:hint="eastAsia"/>
          <w:b/>
          <w:sz w:val="21"/>
          <w:szCs w:val="21"/>
        </w:rPr>
        <w:t xml:space="preserve"> GB/T 24001-2016 idt ISO 14001:2015标准</w:t>
      </w:r>
    </w:p>
    <w:p>
      <w:pPr>
        <w:tabs>
          <w:tab w:val="left" w:pos="645"/>
        </w:tabs>
        <w:rPr>
          <w:b/>
          <w:sz w:val="21"/>
          <w:szCs w:val="21"/>
        </w:rPr>
      </w:pPr>
      <w:bookmarkStart w:id="6" w:name="S勾选Add"/>
      <w:r>
        <w:rPr>
          <w:rFonts w:hint="eastAsia"/>
          <w:b/>
          <w:sz w:val="21"/>
          <w:szCs w:val="21"/>
        </w:rPr>
        <w:t>■</w:t>
      </w:r>
      <w:bookmarkEnd w:id="6"/>
      <w:r>
        <w:rPr>
          <w:rFonts w:hint="eastAsia"/>
          <w:b/>
          <w:sz w:val="21"/>
          <w:szCs w:val="21"/>
        </w:rPr>
        <w:t xml:space="preserve"> GB/T 28001-2011 idt OHSMS 18001:2007标准</w:t>
      </w:r>
    </w:p>
    <w:p>
      <w:pPr>
        <w:tabs>
          <w:tab w:val="left" w:pos="645"/>
        </w:tabs>
        <w:rPr>
          <w:b/>
          <w:sz w:val="21"/>
          <w:szCs w:val="21"/>
        </w:rPr>
      </w:pPr>
      <w:bookmarkStart w:id="7" w:name="S勾选Add1"/>
      <w:r>
        <w:rPr>
          <w:rFonts w:hint="eastAsia"/>
          <w:b/>
          <w:sz w:val="21"/>
          <w:szCs w:val="21"/>
        </w:rPr>
        <w:t>■</w:t>
      </w:r>
      <w:bookmarkEnd w:id="7"/>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970"/>
        <w:gridCol w:w="1964"/>
        <w:gridCol w:w="891"/>
        <w:gridCol w:w="1572"/>
        <w:gridCol w:w="1319"/>
        <w:gridCol w:w="2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011"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27" w:type="dxa"/>
            <w:gridSpan w:val="3"/>
            <w:vAlign w:val="center"/>
          </w:tcPr>
          <w:p>
            <w:pPr>
              <w:spacing w:line="260" w:lineRule="exact"/>
              <w:jc w:val="both"/>
              <w:rPr>
                <w:rFonts w:hint="eastAsia" w:ascii="宋体" w:eastAsia="宋体"/>
                <w:b/>
                <w:color w:val="FF0000"/>
                <w:sz w:val="21"/>
                <w:lang w:eastAsia="zh-CN"/>
              </w:rPr>
            </w:pPr>
            <w:r>
              <w:rPr>
                <w:rFonts w:hint="eastAsia" w:ascii="宋体"/>
                <w:b/>
                <w:color w:val="auto"/>
                <w:sz w:val="21"/>
                <w:lang w:eastAsia="zh-CN"/>
              </w:rPr>
              <w:t>河北华泰复合管道有限公司</w:t>
            </w:r>
          </w:p>
        </w:tc>
        <w:tc>
          <w:tcPr>
            <w:tcW w:w="1319"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w:t>
            </w:r>
          </w:p>
        </w:tc>
        <w:tc>
          <w:tcPr>
            <w:tcW w:w="2049" w:type="dxa"/>
          </w:tcPr>
          <w:p>
            <w:pPr>
              <w:spacing w:line="260" w:lineRule="exact"/>
              <w:rPr>
                <w:rFonts w:hint="eastAsia" w:ascii="宋体"/>
                <w:b/>
                <w:sz w:val="21"/>
                <w:lang w:val="en-US" w:eastAsia="zh-CN"/>
              </w:rPr>
            </w:pPr>
            <w:r>
              <w:rPr>
                <w:rFonts w:hint="eastAsia" w:ascii="宋体"/>
                <w:b/>
                <w:sz w:val="21"/>
                <w:lang w:val="en-US" w:eastAsia="zh-CN"/>
              </w:rPr>
              <w:t>15</w:t>
            </w:r>
          </w:p>
          <w:p>
            <w:pPr>
              <w:spacing w:line="260" w:lineRule="exact"/>
              <w:rPr>
                <w:rFonts w:hint="default" w:ascii="宋体"/>
                <w:b/>
                <w:sz w:val="21"/>
                <w:lang w:val="en-US" w:eastAsia="zh-CN"/>
              </w:rPr>
            </w:pPr>
            <w:r>
              <w:rPr>
                <w:rFonts w:hint="eastAsia" w:ascii="宋体"/>
                <w:b/>
                <w:sz w:val="21"/>
                <w:lang w:val="en-US" w:eastAsia="zh-CN"/>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011" w:type="dxa"/>
            <w:gridSpan w:val="2"/>
            <w:vAlign w:val="center"/>
          </w:tcPr>
          <w:p>
            <w:pPr>
              <w:jc w:val="center"/>
              <w:rPr>
                <w:b/>
                <w:sz w:val="16"/>
                <w:szCs w:val="16"/>
              </w:rPr>
            </w:pPr>
            <w:r>
              <w:rPr>
                <w:rFonts w:hint="eastAsia" w:ascii="宋体" w:hAnsi="宋体"/>
                <w:b/>
                <w:sz w:val="21"/>
                <w:szCs w:val="21"/>
              </w:rPr>
              <w:t>注册地址</w:t>
            </w:r>
          </w:p>
        </w:tc>
        <w:tc>
          <w:tcPr>
            <w:tcW w:w="4427" w:type="dxa"/>
            <w:gridSpan w:val="3"/>
            <w:vAlign w:val="center"/>
          </w:tcPr>
          <w:p>
            <w:pPr>
              <w:jc w:val="both"/>
              <w:rPr>
                <w:rFonts w:hint="eastAsia" w:ascii="宋体" w:eastAsia="宋体"/>
                <w:b/>
                <w:sz w:val="21"/>
                <w:lang w:eastAsia="zh-CN"/>
              </w:rPr>
            </w:pPr>
            <w:r>
              <w:rPr>
                <w:rFonts w:hint="eastAsia" w:ascii="宋体"/>
                <w:b/>
                <w:sz w:val="21"/>
                <w:lang w:eastAsia="zh-CN"/>
              </w:rPr>
              <w:t>衡水市胜利东路286号</w:t>
            </w:r>
          </w:p>
        </w:tc>
        <w:tc>
          <w:tcPr>
            <w:tcW w:w="1319" w:type="dxa"/>
            <w:vMerge w:val="restart"/>
            <w:vAlign w:val="center"/>
          </w:tcPr>
          <w:p>
            <w:pPr>
              <w:jc w:val="center"/>
              <w:rPr>
                <w:rFonts w:ascii="宋体"/>
                <w:b/>
                <w:sz w:val="21"/>
              </w:rPr>
            </w:pPr>
            <w:r>
              <w:rPr>
                <w:rFonts w:hint="eastAsia" w:ascii="宋体" w:hAnsi="宋体"/>
                <w:b/>
                <w:sz w:val="21"/>
              </w:rPr>
              <w:t>邮编</w:t>
            </w:r>
          </w:p>
        </w:tc>
        <w:tc>
          <w:tcPr>
            <w:tcW w:w="2049" w:type="dxa"/>
            <w:vAlign w:val="center"/>
          </w:tcPr>
          <w:p>
            <w:pPr>
              <w:jc w:val="both"/>
              <w:rPr>
                <w:rFonts w:hint="eastAsia" w:ascii="宋体" w:eastAsia="宋体"/>
                <w:b/>
                <w:sz w:val="21"/>
                <w:lang w:eastAsia="zh-CN"/>
              </w:rPr>
            </w:pPr>
            <w:r>
              <w:rPr>
                <w:rFonts w:hint="eastAsia" w:ascii="宋体"/>
                <w:b/>
                <w:sz w:val="21"/>
                <w:lang w:eastAsia="zh-CN"/>
              </w:rPr>
              <w:t>053000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011" w:type="dxa"/>
            <w:gridSpan w:val="2"/>
            <w:vAlign w:val="center"/>
          </w:tcPr>
          <w:p>
            <w:pPr>
              <w:jc w:val="center"/>
              <w:rPr>
                <w:rFonts w:ascii="宋体"/>
                <w:b/>
                <w:sz w:val="21"/>
                <w:szCs w:val="21"/>
              </w:rPr>
            </w:pPr>
            <w:r>
              <w:rPr>
                <w:rFonts w:hint="eastAsia" w:ascii="宋体" w:hAnsi="宋体"/>
                <w:b/>
                <w:sz w:val="21"/>
                <w:szCs w:val="21"/>
              </w:rPr>
              <w:t>经营地址</w:t>
            </w:r>
          </w:p>
        </w:tc>
        <w:tc>
          <w:tcPr>
            <w:tcW w:w="4427" w:type="dxa"/>
            <w:gridSpan w:val="3"/>
            <w:vAlign w:val="center"/>
          </w:tcPr>
          <w:p>
            <w:pPr>
              <w:jc w:val="both"/>
              <w:rPr>
                <w:rFonts w:hint="eastAsia" w:ascii="宋体" w:eastAsia="宋体"/>
                <w:b/>
                <w:sz w:val="21"/>
                <w:lang w:eastAsia="zh-CN"/>
              </w:rPr>
            </w:pPr>
            <w:r>
              <w:rPr>
                <w:rFonts w:hint="eastAsia" w:ascii="宋体"/>
                <w:b/>
                <w:sz w:val="21"/>
                <w:lang w:eastAsia="zh-CN"/>
              </w:rPr>
              <w:t>衡水市胜利东路286号</w:t>
            </w:r>
          </w:p>
        </w:tc>
        <w:tc>
          <w:tcPr>
            <w:tcW w:w="1319" w:type="dxa"/>
            <w:vMerge w:val="continue"/>
            <w:vAlign w:val="center"/>
          </w:tcPr>
          <w:p>
            <w:pPr>
              <w:jc w:val="center"/>
              <w:rPr>
                <w:rFonts w:ascii="宋体"/>
                <w:b/>
                <w:sz w:val="21"/>
              </w:rPr>
            </w:pPr>
          </w:p>
        </w:tc>
        <w:tc>
          <w:tcPr>
            <w:tcW w:w="2049" w:type="dxa"/>
            <w:vAlign w:val="center"/>
          </w:tcPr>
          <w:p>
            <w:pPr>
              <w:jc w:val="both"/>
              <w:rPr>
                <w:rFonts w:hint="eastAsia" w:ascii="宋体" w:eastAsia="宋体"/>
                <w:b/>
                <w:sz w:val="21"/>
                <w:lang w:eastAsia="zh-CN"/>
              </w:rPr>
            </w:pPr>
            <w:r>
              <w:rPr>
                <w:rFonts w:hint="eastAsia" w:ascii="宋体"/>
                <w:b/>
                <w:sz w:val="21"/>
                <w:lang w:eastAsia="zh-CN"/>
              </w:rPr>
              <w:t>053000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011"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27" w:type="dxa"/>
            <w:gridSpan w:val="3"/>
            <w:vAlign w:val="center"/>
          </w:tcPr>
          <w:p>
            <w:pPr>
              <w:jc w:val="both"/>
              <w:rPr>
                <w:rFonts w:hint="eastAsia" w:ascii="宋体" w:eastAsia="宋体"/>
                <w:b/>
                <w:sz w:val="21"/>
                <w:lang w:eastAsia="zh-CN"/>
              </w:rPr>
            </w:pPr>
            <w:r>
              <w:rPr>
                <w:rFonts w:hint="eastAsia" w:ascii="宋体"/>
                <w:b/>
                <w:sz w:val="21"/>
                <w:lang w:eastAsia="zh-CN"/>
              </w:rPr>
              <w:t>衡水市胜利东路286号</w:t>
            </w:r>
          </w:p>
        </w:tc>
        <w:tc>
          <w:tcPr>
            <w:tcW w:w="1319" w:type="dxa"/>
            <w:vMerge w:val="continue"/>
            <w:vAlign w:val="center"/>
          </w:tcPr>
          <w:p>
            <w:pPr>
              <w:jc w:val="center"/>
              <w:rPr>
                <w:rFonts w:ascii="宋体"/>
                <w:b/>
                <w:sz w:val="21"/>
              </w:rPr>
            </w:pPr>
          </w:p>
        </w:tc>
        <w:tc>
          <w:tcPr>
            <w:tcW w:w="2049" w:type="dxa"/>
            <w:vAlign w:val="center"/>
          </w:tcPr>
          <w:p>
            <w:pPr>
              <w:jc w:val="both"/>
              <w:rPr>
                <w:rFonts w:hint="eastAsia" w:ascii="宋体" w:eastAsia="宋体"/>
                <w:b/>
                <w:sz w:val="21"/>
                <w:lang w:eastAsia="zh-CN"/>
              </w:rPr>
            </w:pPr>
            <w:r>
              <w:rPr>
                <w:rFonts w:hint="eastAsia" w:ascii="宋体"/>
                <w:b/>
                <w:sz w:val="21"/>
                <w:lang w:eastAsia="zh-CN"/>
              </w:rPr>
              <w:t>053000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011" w:type="dxa"/>
            <w:gridSpan w:val="2"/>
            <w:vAlign w:val="center"/>
          </w:tcPr>
          <w:p>
            <w:pPr>
              <w:jc w:val="center"/>
              <w:rPr>
                <w:rFonts w:ascii="宋体"/>
                <w:b/>
                <w:sz w:val="21"/>
              </w:rPr>
            </w:pPr>
            <w:r>
              <w:rPr>
                <w:rFonts w:hint="eastAsia" w:ascii="宋体" w:hAnsi="宋体"/>
                <w:b/>
                <w:sz w:val="21"/>
              </w:rPr>
              <w:t>联系人</w:t>
            </w:r>
          </w:p>
        </w:tc>
        <w:tc>
          <w:tcPr>
            <w:tcW w:w="1964" w:type="dxa"/>
            <w:vAlign w:val="center"/>
          </w:tcPr>
          <w:p>
            <w:pPr>
              <w:jc w:val="both"/>
              <w:rPr>
                <w:rFonts w:hint="eastAsia" w:ascii="宋体" w:eastAsia="宋体"/>
                <w:b/>
                <w:sz w:val="21"/>
                <w:lang w:eastAsia="zh-CN"/>
              </w:rPr>
            </w:pPr>
            <w:bookmarkStart w:id="8" w:name="联系人"/>
            <w:r>
              <w:rPr>
                <w:rFonts w:ascii="宋体" w:hAnsi="宋体"/>
                <w:szCs w:val="21"/>
              </w:rPr>
              <w:t>葛勇</w:t>
            </w:r>
            <w:bookmarkEnd w:id="8"/>
          </w:p>
        </w:tc>
        <w:tc>
          <w:tcPr>
            <w:tcW w:w="891" w:type="dxa"/>
            <w:vAlign w:val="center"/>
          </w:tcPr>
          <w:p>
            <w:pPr>
              <w:jc w:val="center"/>
              <w:rPr>
                <w:rFonts w:ascii="宋体"/>
                <w:b/>
                <w:sz w:val="21"/>
              </w:rPr>
            </w:pPr>
            <w:r>
              <w:rPr>
                <w:rFonts w:hint="eastAsia" w:ascii="宋体" w:hAnsi="宋体"/>
                <w:b/>
                <w:sz w:val="21"/>
              </w:rPr>
              <w:t>电话</w:t>
            </w:r>
          </w:p>
        </w:tc>
        <w:tc>
          <w:tcPr>
            <w:tcW w:w="1572" w:type="dxa"/>
            <w:vAlign w:val="center"/>
          </w:tcPr>
          <w:p>
            <w:pPr>
              <w:jc w:val="both"/>
              <w:rPr>
                <w:rFonts w:hint="default" w:ascii="宋体" w:eastAsia="宋体"/>
                <w:b/>
                <w:sz w:val="21"/>
                <w:lang w:val="en-US" w:eastAsia="zh-CN"/>
              </w:rPr>
            </w:pPr>
            <w:bookmarkStart w:id="9" w:name="联系人电话"/>
            <w:r>
              <w:rPr>
                <w:color w:val="000000"/>
                <w:szCs w:val="21"/>
                <w:lang w:val="de-DE"/>
              </w:rPr>
              <w:t>18331829999</w:t>
            </w:r>
            <w:bookmarkEnd w:id="9"/>
          </w:p>
        </w:tc>
        <w:tc>
          <w:tcPr>
            <w:tcW w:w="1319" w:type="dxa"/>
            <w:vAlign w:val="center"/>
          </w:tcPr>
          <w:p>
            <w:pPr>
              <w:jc w:val="center"/>
              <w:rPr>
                <w:rFonts w:ascii="宋体"/>
                <w:b/>
                <w:sz w:val="21"/>
              </w:rPr>
            </w:pPr>
            <w:r>
              <w:rPr>
                <w:rFonts w:hint="eastAsia" w:ascii="宋体" w:hAnsi="宋体"/>
                <w:b/>
                <w:sz w:val="21"/>
              </w:rPr>
              <w:t>传真</w:t>
            </w:r>
          </w:p>
        </w:tc>
        <w:tc>
          <w:tcPr>
            <w:tcW w:w="2049" w:type="dxa"/>
            <w:vAlign w:val="center"/>
          </w:tcPr>
          <w:p>
            <w:pPr>
              <w:jc w:val="both"/>
              <w:rPr>
                <w:rFonts w:hint="default" w:ascii="宋体" w:eastAsia="宋体"/>
                <w:b/>
                <w:sz w:val="21"/>
                <w:lang w:val="en-US" w:eastAsia="zh-CN"/>
              </w:rPr>
            </w:pPr>
            <w:bookmarkStart w:id="10" w:name="联系人传真"/>
            <w:bookmarkEnd w:id="10"/>
            <w:r>
              <w:rPr>
                <w:rFonts w:hint="eastAsia" w:ascii="宋体"/>
                <w:b/>
                <w:sz w:val="21"/>
                <w:lang w:val="en-US" w:eastAsia="zh-CN"/>
              </w:rPr>
              <w:t>0318-2052266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11"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964" w:type="dxa"/>
            <w:vAlign w:val="center"/>
          </w:tcPr>
          <w:p>
            <w:pPr>
              <w:jc w:val="both"/>
              <w:rPr>
                <w:rFonts w:hint="default" w:ascii="宋体" w:hAnsi="宋体" w:eastAsia="宋体"/>
                <w:b/>
                <w:sz w:val="21"/>
                <w:szCs w:val="21"/>
                <w:lang w:val="en-US" w:eastAsia="zh-CN"/>
              </w:rPr>
            </w:pPr>
            <w:r>
              <w:rPr>
                <w:rFonts w:hint="eastAsia" w:ascii="宋体" w:hAnsi="宋体"/>
                <w:b/>
                <w:sz w:val="21"/>
                <w:szCs w:val="21"/>
                <w:lang w:val="en-US" w:eastAsia="zh-CN"/>
              </w:rPr>
              <w:t>葛占华</w:t>
            </w:r>
          </w:p>
        </w:tc>
        <w:tc>
          <w:tcPr>
            <w:tcW w:w="891" w:type="dxa"/>
            <w:vAlign w:val="center"/>
          </w:tcPr>
          <w:p>
            <w:pPr>
              <w:jc w:val="center"/>
              <w:rPr>
                <w:rFonts w:ascii="宋体" w:hAnsi="宋体"/>
                <w:b/>
                <w:sz w:val="21"/>
                <w:szCs w:val="21"/>
              </w:rPr>
            </w:pPr>
            <w:r>
              <w:rPr>
                <w:rFonts w:hint="eastAsia" w:ascii="宋体" w:hAnsi="宋体"/>
                <w:b/>
                <w:sz w:val="21"/>
                <w:szCs w:val="21"/>
              </w:rPr>
              <w:t>总经理</w:t>
            </w:r>
          </w:p>
        </w:tc>
        <w:tc>
          <w:tcPr>
            <w:tcW w:w="1572" w:type="dxa"/>
            <w:vAlign w:val="center"/>
          </w:tcPr>
          <w:p>
            <w:pPr>
              <w:jc w:val="both"/>
              <w:rPr>
                <w:rFonts w:hint="eastAsia" w:ascii="宋体" w:hAnsi="宋体" w:eastAsia="宋体"/>
                <w:b/>
                <w:sz w:val="21"/>
                <w:szCs w:val="21"/>
                <w:lang w:eastAsia="zh-CN"/>
              </w:rPr>
            </w:pPr>
            <w:r>
              <w:rPr>
                <w:rFonts w:hint="eastAsia" w:ascii="宋体"/>
                <w:b/>
                <w:sz w:val="21"/>
                <w:lang w:val="en-US" w:eastAsia="zh-CN"/>
              </w:rPr>
              <w:t>葛占华</w:t>
            </w:r>
          </w:p>
        </w:tc>
        <w:tc>
          <w:tcPr>
            <w:tcW w:w="1319" w:type="dxa"/>
            <w:vAlign w:val="center"/>
          </w:tcPr>
          <w:p>
            <w:pPr>
              <w:jc w:val="center"/>
              <w:rPr>
                <w:rFonts w:ascii="宋体" w:hAnsi="宋体"/>
                <w:b/>
                <w:sz w:val="21"/>
                <w:szCs w:val="21"/>
              </w:rPr>
            </w:pPr>
            <w:r>
              <w:rPr>
                <w:rFonts w:hint="eastAsia" w:ascii="宋体" w:hAnsi="宋体"/>
                <w:b/>
                <w:sz w:val="21"/>
                <w:szCs w:val="21"/>
              </w:rPr>
              <w:t>管理者代表</w:t>
            </w:r>
          </w:p>
        </w:tc>
        <w:tc>
          <w:tcPr>
            <w:tcW w:w="2049" w:type="dxa"/>
            <w:vAlign w:val="center"/>
          </w:tcPr>
          <w:p>
            <w:pPr>
              <w:jc w:val="both"/>
              <w:rPr>
                <w:rFonts w:hint="eastAsia" w:ascii="宋体" w:eastAsia="宋体"/>
                <w:b/>
                <w:sz w:val="21"/>
                <w:lang w:eastAsia="zh-CN"/>
              </w:rPr>
            </w:pPr>
            <w:r>
              <w:rPr>
                <w:rFonts w:hint="eastAsia" w:ascii="宋体"/>
                <w:b/>
                <w:sz w:val="21"/>
                <w:lang w:val="en-US" w:eastAsia="zh-CN"/>
              </w:rPr>
              <w:t>陈涛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011"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855" w:type="dxa"/>
            <w:gridSpan w:val="2"/>
            <w:vAlign w:val="center"/>
          </w:tcPr>
          <w:p>
            <w:pPr>
              <w:rPr>
                <w:rFonts w:ascii="宋体" w:hAnsi="宋体"/>
                <w:b/>
                <w:sz w:val="21"/>
                <w:szCs w:val="21"/>
              </w:rPr>
            </w:pPr>
            <w:bookmarkStart w:id="11" w:name="审核日期"/>
            <w:r>
              <w:rPr>
                <w:rFonts w:ascii="宋体" w:hAnsi="宋体"/>
                <w:b/>
                <w:sz w:val="21"/>
                <w:szCs w:val="21"/>
              </w:rPr>
              <w:t>20</w:t>
            </w:r>
            <w:r>
              <w:rPr>
                <w:rFonts w:hint="eastAsia" w:ascii="宋体" w:hAnsi="宋体"/>
                <w:b/>
                <w:sz w:val="21"/>
                <w:szCs w:val="21"/>
                <w:lang w:val="en-US" w:eastAsia="zh-CN"/>
              </w:rPr>
              <w:t>20</w:t>
            </w:r>
            <w:r>
              <w:rPr>
                <w:rFonts w:ascii="宋体" w:hAnsi="宋体"/>
                <w:b/>
                <w:sz w:val="21"/>
                <w:szCs w:val="21"/>
              </w:rPr>
              <w:t>年</w:t>
            </w:r>
            <w:r>
              <w:rPr>
                <w:rFonts w:hint="eastAsia" w:ascii="宋体" w:hAnsi="宋体"/>
                <w:b/>
                <w:sz w:val="21"/>
                <w:szCs w:val="21"/>
                <w:lang w:val="en-US" w:eastAsia="zh-CN"/>
              </w:rPr>
              <w:t>10</w:t>
            </w:r>
            <w:r>
              <w:rPr>
                <w:rFonts w:ascii="宋体" w:hAnsi="宋体"/>
                <w:b/>
                <w:sz w:val="21"/>
                <w:szCs w:val="21"/>
              </w:rPr>
              <w:t>月</w:t>
            </w:r>
            <w:r>
              <w:rPr>
                <w:rFonts w:hint="eastAsia" w:ascii="宋体" w:hAnsi="宋体"/>
                <w:b/>
                <w:sz w:val="21"/>
                <w:szCs w:val="21"/>
                <w:lang w:val="en-US" w:eastAsia="zh-CN"/>
              </w:rPr>
              <w:t>1</w:t>
            </w:r>
            <w:r>
              <w:rPr>
                <w:rFonts w:ascii="宋体" w:hAnsi="宋体"/>
                <w:b/>
                <w:sz w:val="21"/>
                <w:szCs w:val="21"/>
              </w:rPr>
              <w:t>日 上午至20</w:t>
            </w:r>
            <w:r>
              <w:rPr>
                <w:rFonts w:hint="eastAsia" w:ascii="宋体" w:hAnsi="宋体"/>
                <w:b/>
                <w:sz w:val="21"/>
                <w:szCs w:val="21"/>
                <w:lang w:val="en-US" w:eastAsia="zh-CN"/>
              </w:rPr>
              <w:t>20</w:t>
            </w:r>
            <w:r>
              <w:rPr>
                <w:rFonts w:ascii="宋体" w:hAnsi="宋体"/>
                <w:b/>
                <w:sz w:val="21"/>
                <w:szCs w:val="21"/>
              </w:rPr>
              <w:t>年</w:t>
            </w:r>
            <w:r>
              <w:rPr>
                <w:rFonts w:hint="eastAsia" w:ascii="宋体" w:hAnsi="宋体"/>
                <w:b/>
                <w:sz w:val="21"/>
                <w:szCs w:val="21"/>
                <w:lang w:val="en-US" w:eastAsia="zh-CN"/>
              </w:rPr>
              <w:t>10</w:t>
            </w:r>
            <w:r>
              <w:rPr>
                <w:rFonts w:ascii="宋体" w:hAnsi="宋体"/>
                <w:b/>
                <w:sz w:val="21"/>
                <w:szCs w:val="21"/>
              </w:rPr>
              <w:t>月</w:t>
            </w:r>
            <w:r>
              <w:rPr>
                <w:rFonts w:hint="eastAsia" w:ascii="宋体" w:hAnsi="宋体"/>
                <w:b/>
                <w:sz w:val="21"/>
                <w:szCs w:val="21"/>
                <w:lang w:val="en-US" w:eastAsia="zh-CN"/>
              </w:rPr>
              <w:t>2</w:t>
            </w:r>
            <w:r>
              <w:rPr>
                <w:rFonts w:ascii="宋体" w:hAnsi="宋体"/>
                <w:b/>
                <w:sz w:val="21"/>
                <w:szCs w:val="21"/>
              </w:rPr>
              <w:t xml:space="preserve">日 </w:t>
            </w:r>
            <w:r>
              <w:rPr>
                <w:rFonts w:hint="eastAsia" w:ascii="宋体" w:hAnsi="宋体"/>
                <w:b/>
                <w:sz w:val="21"/>
                <w:szCs w:val="21"/>
                <w:lang w:val="en-US" w:eastAsia="zh-CN"/>
              </w:rPr>
              <w:t>上</w:t>
            </w:r>
            <w:r>
              <w:rPr>
                <w:rFonts w:ascii="宋体" w:hAnsi="宋体"/>
                <w:b/>
                <w:sz w:val="21"/>
                <w:szCs w:val="21"/>
              </w:rPr>
              <w:t>午</w:t>
            </w:r>
            <w:bookmarkEnd w:id="11"/>
          </w:p>
        </w:tc>
        <w:tc>
          <w:tcPr>
            <w:tcW w:w="1572" w:type="dxa"/>
            <w:vAlign w:val="center"/>
          </w:tcPr>
          <w:p>
            <w:pPr>
              <w:rPr>
                <w:rFonts w:ascii="宋体" w:hAnsi="宋体"/>
                <w:b/>
                <w:sz w:val="21"/>
                <w:szCs w:val="21"/>
              </w:rPr>
            </w:pPr>
            <w:r>
              <w:rPr>
                <w:rFonts w:hint="eastAsia" w:ascii="宋体" w:hAnsi="宋体"/>
                <w:b/>
                <w:sz w:val="21"/>
                <w:szCs w:val="21"/>
              </w:rPr>
              <w:t>一体化审核</w:t>
            </w:r>
          </w:p>
        </w:tc>
        <w:tc>
          <w:tcPr>
            <w:tcW w:w="3368" w:type="dxa"/>
            <w:gridSpan w:val="2"/>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011"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795" w:type="dxa"/>
            <w:gridSpan w:val="5"/>
          </w:tcPr>
          <w:p>
            <w:pPr>
              <w:rPr>
                <w:sz w:val="20"/>
              </w:rPr>
            </w:pPr>
            <w:r>
              <w:rPr>
                <w:sz w:val="20"/>
              </w:rPr>
              <w:t>Q：塑钢复合管（PE碳钢复合管</w:t>
            </w:r>
            <w:r>
              <w:rPr>
                <w:rFonts w:hint="eastAsia"/>
                <w:sz w:val="20"/>
                <w:lang w:eastAsia="zh-CN"/>
              </w:rPr>
              <w:t>、</w:t>
            </w:r>
            <w:r>
              <w:rPr>
                <w:rFonts w:hint="eastAsia"/>
                <w:sz w:val="20"/>
                <w:lang w:val="en-US" w:eastAsia="zh-CN"/>
              </w:rPr>
              <w:t>消防管</w:t>
            </w:r>
            <w:r>
              <w:rPr>
                <w:sz w:val="20"/>
              </w:rPr>
              <w:t>）、高压胶管总成的生产，空气源热泵（超低温空气增焓集热器）的组装，PE管、石油配件的销售</w:t>
            </w:r>
          </w:p>
          <w:p>
            <w:pPr>
              <w:rPr>
                <w:sz w:val="20"/>
              </w:rPr>
            </w:pPr>
            <w:r>
              <w:rPr>
                <w:sz w:val="20"/>
              </w:rPr>
              <w:t>E：塑钢复合管（PE碳钢复合管</w:t>
            </w:r>
            <w:r>
              <w:rPr>
                <w:rFonts w:hint="eastAsia"/>
                <w:sz w:val="20"/>
                <w:lang w:eastAsia="zh-CN"/>
              </w:rPr>
              <w:t>、</w:t>
            </w:r>
            <w:r>
              <w:rPr>
                <w:rFonts w:hint="eastAsia"/>
                <w:sz w:val="20"/>
                <w:lang w:val="en-US" w:eastAsia="zh-CN"/>
              </w:rPr>
              <w:t>消防管</w:t>
            </w:r>
            <w:r>
              <w:rPr>
                <w:sz w:val="20"/>
              </w:rPr>
              <w:t>）、高压胶管总成的生产，空气源热泵（超低温空气增焓集热器）的组装，PE管、石油配件的销售</w:t>
            </w:r>
          </w:p>
          <w:p>
            <w:pPr>
              <w:spacing w:line="360" w:lineRule="exact"/>
              <w:rPr>
                <w:rFonts w:ascii="宋体" w:hAnsi="宋体"/>
                <w:b/>
                <w:sz w:val="21"/>
                <w:szCs w:val="21"/>
              </w:rPr>
            </w:pPr>
            <w:r>
              <w:rPr>
                <w:sz w:val="20"/>
              </w:rPr>
              <w:t>O：塑钢复合管（PE碳钢复合管</w:t>
            </w:r>
            <w:r>
              <w:rPr>
                <w:rFonts w:hint="eastAsia"/>
                <w:sz w:val="20"/>
                <w:lang w:eastAsia="zh-CN"/>
              </w:rPr>
              <w:t>、</w:t>
            </w:r>
            <w:r>
              <w:rPr>
                <w:rFonts w:hint="eastAsia"/>
                <w:sz w:val="20"/>
                <w:lang w:val="en-US" w:eastAsia="zh-CN"/>
              </w:rPr>
              <w:t>消防管</w:t>
            </w:r>
            <w:r>
              <w:rPr>
                <w:sz w:val="20"/>
              </w:rPr>
              <w:t>）、高压胶管总成的生产，空气源热泵（超低温空气增焓集热器）的组装，PE管、石油配件的销售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tc>
        <w:tc>
          <w:tcPr>
            <w:tcW w:w="970" w:type="dxa"/>
            <w:vAlign w:val="center"/>
          </w:tcPr>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w:t>
            </w: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795" w:type="dxa"/>
            <w:gridSpan w:val="5"/>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r>
              <w:rPr>
                <w:rFonts w:hint="eastAsia" w:ascii="宋体" w:hAnsi="宋体"/>
                <w:b/>
                <w:sz w:val="21"/>
                <w:szCs w:val="21"/>
                <w:lang w:val="en-US" w:eastAsia="zh-CN"/>
              </w:rPr>
              <w:t>见上</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11"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964" w:type="dxa"/>
          </w:tcPr>
          <w:p>
            <w:pPr>
              <w:spacing w:line="260" w:lineRule="exact"/>
              <w:rPr>
                <w:sz w:val="20"/>
              </w:rPr>
            </w:pPr>
            <w:r>
              <w:rPr>
                <w:sz w:val="20"/>
              </w:rPr>
              <w:t>14.01.02,14.02.01,</w:t>
            </w:r>
          </w:p>
          <w:p>
            <w:pPr>
              <w:spacing w:line="260" w:lineRule="exact"/>
              <w:rPr>
                <w:rFonts w:hint="eastAsia" w:ascii="宋体" w:hAnsi="宋体" w:eastAsia="宋体"/>
                <w:b/>
                <w:sz w:val="21"/>
                <w:szCs w:val="21"/>
                <w:lang w:eastAsia="zh-CN"/>
              </w:rPr>
            </w:pPr>
            <w:r>
              <w:rPr>
                <w:sz w:val="20"/>
              </w:rPr>
              <w:t>18.01.03,29.12.00</w:t>
            </w:r>
          </w:p>
        </w:tc>
        <w:tc>
          <w:tcPr>
            <w:tcW w:w="891"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572" w:type="dxa"/>
            <w:vAlign w:val="center"/>
          </w:tcPr>
          <w:p>
            <w:pPr>
              <w:spacing w:line="260" w:lineRule="exact"/>
              <w:jc w:val="both"/>
              <w:rPr>
                <w:rFonts w:hint="default" w:ascii="宋体" w:hAnsi="宋体" w:eastAsia="宋体"/>
                <w:b/>
                <w:sz w:val="21"/>
                <w:szCs w:val="21"/>
                <w:lang w:val="en-US" w:eastAsia="zh-CN"/>
              </w:rPr>
            </w:pPr>
            <w:r>
              <w:rPr>
                <w:rFonts w:hint="eastAsia" w:ascii="宋体" w:hAnsi="宋体"/>
                <w:b w:val="0"/>
                <w:bCs/>
                <w:sz w:val="18"/>
                <w:szCs w:val="18"/>
                <w:lang w:val="en-US" w:eastAsia="zh-CN"/>
              </w:rPr>
              <w:t>2021年8月15日</w:t>
            </w:r>
          </w:p>
        </w:tc>
        <w:tc>
          <w:tcPr>
            <w:tcW w:w="1319"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2049" w:type="dxa"/>
            <w:vAlign w:val="center"/>
          </w:tcPr>
          <w:p>
            <w:pPr>
              <w:spacing w:line="260" w:lineRule="exact"/>
              <w:jc w:val="both"/>
              <w:rPr>
                <w:rFonts w:hint="default" w:ascii="宋体" w:eastAsia="宋体"/>
                <w:b/>
                <w:sz w:val="21"/>
                <w:lang w:val="en-US" w:eastAsia="zh-CN"/>
              </w:rPr>
            </w:pPr>
            <w:r>
              <w:rPr>
                <w:rFonts w:hint="eastAsia" w:ascii="宋体"/>
                <w:b w:val="0"/>
                <w:bCs/>
                <w:sz w:val="18"/>
                <w:szCs w:val="18"/>
                <w:lang w:val="en-US" w:eastAsia="zh-CN"/>
              </w:rPr>
              <w:t>2019年9月12-13日</w:t>
            </w:r>
          </w:p>
        </w:tc>
      </w:tr>
    </w:tbl>
    <w:p>
      <w:pPr>
        <w:tabs>
          <w:tab w:val="left" w:pos="645"/>
        </w:tabs>
        <w:spacing w:after="163" w:afterLines="50" w:line="360" w:lineRule="exact"/>
        <w:rPr>
          <w:rFonts w:hint="eastAsia" w:eastAsia="宋体"/>
          <w:b/>
          <w:spacing w:val="-6"/>
          <w:sz w:val="16"/>
          <w:szCs w:val="16"/>
          <w:lang w:eastAsia="zh-CN"/>
        </w:rPr>
      </w:pPr>
      <w:r>
        <w:rPr>
          <w:rFonts w:hint="eastAsia"/>
          <w:b/>
          <w:sz w:val="26"/>
          <w:szCs w:val="26"/>
        </w:rPr>
        <w:t>五、审核活动安排综述</w:t>
      </w:r>
      <w:r>
        <w:rPr>
          <w:rFonts w:hint="eastAsia"/>
          <w:b/>
          <w:sz w:val="26"/>
          <w:szCs w:val="26"/>
          <w:lang w:eastAsia="zh-CN"/>
        </w:rPr>
        <w:t>（</w:t>
      </w:r>
      <w:r>
        <w:rPr>
          <w:rFonts w:hint="eastAsia"/>
          <w:b/>
          <w:sz w:val="26"/>
          <w:szCs w:val="26"/>
          <w:lang w:val="en-US" w:eastAsia="zh-CN"/>
        </w:rPr>
        <w:t>远程审核</w:t>
      </w:r>
      <w:r>
        <w:rPr>
          <w:rFonts w:hint="eastAsia"/>
          <w:b/>
          <w:sz w:val="26"/>
          <w:szCs w:val="26"/>
          <w:lang w:eastAsia="zh-CN"/>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hint="default" w:ascii="宋体" w:hAnsi="宋体" w:eastAsia="宋体"/>
          <w:b/>
          <w:sz w:val="21"/>
          <w:szCs w:val="21"/>
          <w:lang w:val="en-US" w:eastAsia="zh-CN"/>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r>
        <w:rPr>
          <w:rFonts w:hint="eastAsia" w:ascii="宋体" w:hAnsi="宋体"/>
          <w:b/>
          <w:sz w:val="21"/>
          <w:szCs w:val="21"/>
          <w:lang w:eastAsia="zh-CN"/>
        </w:rPr>
        <w:t>：</w:t>
      </w:r>
      <w:r>
        <w:rPr>
          <w:rFonts w:hint="eastAsia" w:ascii="宋体" w:hAnsi="宋体"/>
          <w:b/>
          <w:sz w:val="21"/>
          <w:szCs w:val="21"/>
          <w:lang w:val="en-US" w:eastAsia="zh-CN"/>
        </w:rPr>
        <w:t>无</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r>
        <w:rPr>
          <w:sz w:val="20"/>
        </w:rPr>
        <w:t>塑钢复合管（PE碳钢复合管）、高压胶管总成的生产，PE管、石油配件的销售</w:t>
      </w:r>
    </w:p>
    <w:p>
      <w:pPr>
        <w:spacing w:line="360" w:lineRule="atLeast"/>
        <w:ind w:firstLine="211" w:firstLineChars="100"/>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r>
        <w:rPr>
          <w:sz w:val="20"/>
        </w:rPr>
        <w:t>塑钢复合管（PE碳钢复合管</w:t>
      </w:r>
      <w:r>
        <w:rPr>
          <w:rFonts w:hint="eastAsia"/>
          <w:sz w:val="20"/>
          <w:lang w:eastAsia="zh-CN"/>
        </w:rPr>
        <w:t>、</w:t>
      </w:r>
      <w:r>
        <w:rPr>
          <w:rFonts w:hint="eastAsia"/>
          <w:sz w:val="20"/>
          <w:lang w:val="en-US" w:eastAsia="zh-CN"/>
        </w:rPr>
        <w:t>消防管</w:t>
      </w:r>
      <w:r>
        <w:rPr>
          <w:sz w:val="20"/>
        </w:rPr>
        <w:t>）、高压胶管总成的生产，空气源热泵（超低温空气增焓集热器）的组装，PE管、石油配件的销售</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9</w:t>
      </w:r>
      <w:r>
        <w:rPr>
          <w:rFonts w:hint="eastAsia" w:ascii="宋体" w:hAnsi="宋体"/>
          <w:b/>
          <w:sz w:val="21"/>
          <w:szCs w:val="21"/>
        </w:rPr>
        <w:t>月</w:t>
      </w:r>
      <w:r>
        <w:rPr>
          <w:rFonts w:hint="eastAsia" w:ascii="宋体" w:hAnsi="宋体"/>
          <w:b/>
          <w:sz w:val="21"/>
          <w:szCs w:val="21"/>
          <w:lang w:val="en-US" w:eastAsia="zh-CN"/>
        </w:rPr>
        <w:t>13</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10</w:t>
      </w:r>
      <w:r>
        <w:rPr>
          <w:rFonts w:hint="eastAsia" w:ascii="宋体" w:hAnsi="宋体"/>
          <w:b/>
          <w:sz w:val="21"/>
          <w:szCs w:val="21"/>
        </w:rPr>
        <w:t>月</w:t>
      </w:r>
      <w:r>
        <w:rPr>
          <w:rFonts w:hint="eastAsia" w:ascii="宋体" w:hAnsi="宋体"/>
          <w:b/>
          <w:sz w:val="21"/>
          <w:szCs w:val="21"/>
          <w:lang w:val="en-US" w:eastAsia="zh-CN"/>
        </w:rPr>
        <w:t>2</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9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681"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237" w:type="dxa"/>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b/>
                <w:sz w:val="21"/>
                <w:szCs w:val="21"/>
              </w:rPr>
            </w:pPr>
            <w:r>
              <w:rPr>
                <w:rFonts w:hint="eastAsia"/>
                <w:sz w:val="21"/>
                <w:szCs w:val="21"/>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sz w:val="21"/>
                <w:szCs w:val="21"/>
                <w:lang w:eastAsia="zh-CN"/>
              </w:rPr>
              <w:t>；</w:t>
            </w:r>
            <w:r>
              <w:rPr>
                <w:rFonts w:hint="eastAsia"/>
                <w:sz w:val="21"/>
                <w:szCs w:val="21"/>
              </w:rPr>
              <w:t>对这些内外部因素通过定期的网站获取、顾客沟通、及定期（周总结会议、月中、月末总结会议）内部总结等方式进行监视和评审</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3" w:hRule="atLeast"/>
          <w:jc w:val="center"/>
        </w:trPr>
        <w:tc>
          <w:tcPr>
            <w:tcW w:w="681" w:type="dxa"/>
            <w:vMerge w:val="continue"/>
            <w:textDirection w:val="tbRlV"/>
            <w:vAlign w:val="center"/>
          </w:tcPr>
          <w:p>
            <w:pPr>
              <w:spacing w:line="240" w:lineRule="exact"/>
              <w:ind w:left="241" w:right="113" w:hanging="241" w:hangingChars="100"/>
              <w:jc w:val="center"/>
              <w:rPr>
                <w:rFonts w:ascii="宋体"/>
                <w:b/>
                <w:szCs w:val="21"/>
              </w:rPr>
            </w:pPr>
          </w:p>
        </w:tc>
        <w:tc>
          <w:tcPr>
            <w:tcW w:w="9237" w:type="dxa"/>
          </w:tcPr>
          <w:p>
            <w:pPr>
              <w:keepNext w:val="0"/>
              <w:keepLines w:val="0"/>
              <w:pageBreakBefore w:val="0"/>
              <w:numPr>
                <w:ilvl w:val="0"/>
                <w:numId w:val="1"/>
              </w:numPr>
              <w:kinsoku/>
              <w:wordWrap/>
              <w:overflowPunct/>
              <w:topLinePunct w:val="0"/>
              <w:autoSpaceDE/>
              <w:autoSpaceDN/>
              <w:bidi w:val="0"/>
              <w:adjustRightInd/>
              <w:snapToGrid/>
              <w:spacing w:line="400" w:lineRule="exact"/>
              <w:textAlignment w:val="auto"/>
              <w:rPr>
                <w:rFonts w:hint="eastAsia" w:ascii="宋体" w:hAnsi="宋体"/>
                <w:b/>
                <w:sz w:val="21"/>
                <w:szCs w:val="21"/>
              </w:rPr>
            </w:pPr>
            <w:r>
              <w:rPr>
                <w:rFonts w:hint="eastAsia" w:ascii="宋体" w:hAnsi="宋体"/>
                <w:b/>
                <w:sz w:val="21"/>
                <w:szCs w:val="21"/>
              </w:rPr>
              <w:t>相关方需求和期望识别情况</w:t>
            </w:r>
          </w:p>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宋体" w:hAnsi="宋体"/>
                <w:b/>
                <w:sz w:val="21"/>
                <w:szCs w:val="21"/>
              </w:rPr>
            </w:pPr>
            <w:r>
              <w:rPr>
                <w:rFonts w:hint="eastAsia"/>
                <w:sz w:val="21"/>
                <w:szCs w:val="21"/>
              </w:rPr>
              <w:t>公司确定了与</w:t>
            </w:r>
            <w:r>
              <w:rPr>
                <w:rFonts w:hint="eastAsia"/>
                <w:sz w:val="21"/>
                <w:szCs w:val="21"/>
                <w:lang w:val="en-US" w:eastAsia="zh-CN"/>
              </w:rPr>
              <w:t>环境、职业健康安全</w:t>
            </w:r>
            <w:r>
              <w:rPr>
                <w:rFonts w:hint="eastAsia"/>
                <w:sz w:val="21"/>
                <w:szCs w:val="21"/>
              </w:rPr>
              <w:t>管理体系有关的相关方包括顾客、政府机构、社区、股东、供应商、内部员工等。相关方对企业的要求有：遵守国家的现行法律法规、保持有效的资质、生产的产品节能环保，对环境无重大污染、量具定期检定、不断提高技术水平以及不断提高客户满意度等。</w:t>
            </w:r>
            <w:r>
              <w:rPr>
                <w:rFonts w:hint="eastAsia"/>
                <w:sz w:val="21"/>
                <w:szCs w:val="21"/>
                <w:lang w:val="en-US" w:eastAsia="zh-CN"/>
              </w:rPr>
              <w:t>公司通过</w:t>
            </w:r>
            <w:r>
              <w:rPr>
                <w:rFonts w:hint="eastAsia"/>
                <w:sz w:val="21"/>
                <w:szCs w:val="21"/>
              </w:rPr>
              <w:t>关注顾客需求，通过持续改进增强用户满意</w:t>
            </w:r>
            <w:r>
              <w:rPr>
                <w:rFonts w:hint="eastAsia"/>
                <w:sz w:val="21"/>
                <w:szCs w:val="21"/>
                <w:lang w:eastAsia="zh-CN"/>
              </w:rPr>
              <w:t>；</w:t>
            </w:r>
            <w:r>
              <w:rPr>
                <w:rFonts w:hint="eastAsia"/>
                <w:sz w:val="21"/>
                <w:szCs w:val="21"/>
              </w:rPr>
              <w:t>遵守国家和地方各项法律法规，履行合规义务</w:t>
            </w:r>
            <w:r>
              <w:rPr>
                <w:rFonts w:hint="eastAsia"/>
                <w:sz w:val="21"/>
                <w:szCs w:val="21"/>
                <w:lang w:eastAsia="zh-CN"/>
              </w:rPr>
              <w:t>；</w:t>
            </w:r>
            <w:r>
              <w:rPr>
                <w:rFonts w:hint="eastAsia"/>
                <w:sz w:val="21"/>
                <w:szCs w:val="21"/>
              </w:rPr>
              <w:t>以下行为满足相关方需求和期望：持续改进管理体系过程，提升</w:t>
            </w:r>
            <w:r>
              <w:rPr>
                <w:rFonts w:hint="eastAsia"/>
                <w:sz w:val="21"/>
                <w:szCs w:val="21"/>
                <w:lang w:val="en-US" w:eastAsia="zh-CN"/>
              </w:rPr>
              <w:t>环境、职业健康安全</w:t>
            </w:r>
            <w:r>
              <w:rPr>
                <w:rFonts w:hint="eastAsia"/>
                <w:sz w:val="21"/>
                <w:szCs w:val="21"/>
              </w:rPr>
              <w:t>绩效</w:t>
            </w:r>
            <w:r>
              <w:rPr>
                <w:rFonts w:hint="eastAsia"/>
                <w:sz w:val="21"/>
                <w:szCs w:val="21"/>
                <w:lang w:val="en-US" w:eastAsia="zh-CN"/>
              </w:rPr>
              <w:t>等，</w:t>
            </w:r>
            <w:r>
              <w:rPr>
                <w:rFonts w:hint="eastAsia"/>
                <w:sz w:val="21"/>
                <w:szCs w:val="21"/>
              </w:rPr>
              <w:t>公司管理层及相关部门将持续关注相关方需求的变化，必要时通过评估风险和机遇，调整管理体系目标和指标或变更管理过程以适应这些变化或实现改进</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681" w:type="dxa"/>
            <w:vMerge w:val="continue"/>
            <w:textDirection w:val="tbRlV"/>
            <w:vAlign w:val="center"/>
          </w:tcPr>
          <w:p>
            <w:pPr>
              <w:spacing w:line="240" w:lineRule="exact"/>
              <w:ind w:left="241" w:right="113" w:hanging="241" w:hangingChars="100"/>
              <w:jc w:val="center"/>
              <w:rPr>
                <w:rFonts w:ascii="宋体"/>
                <w:b/>
                <w:szCs w:val="21"/>
              </w:rPr>
            </w:pPr>
          </w:p>
        </w:tc>
        <w:tc>
          <w:tcPr>
            <w:tcW w:w="9237" w:type="dxa"/>
          </w:tcPr>
          <w:p>
            <w:pPr>
              <w:keepNext w:val="0"/>
              <w:keepLines w:val="0"/>
              <w:pageBreakBefore w:val="0"/>
              <w:numPr>
                <w:ilvl w:val="0"/>
                <w:numId w:val="2"/>
              </w:numPr>
              <w:kinsoku/>
              <w:wordWrap/>
              <w:overflowPunct/>
              <w:topLinePunct w:val="0"/>
              <w:autoSpaceDE/>
              <w:autoSpaceDN/>
              <w:bidi w:val="0"/>
              <w:adjustRightInd/>
              <w:snapToGrid/>
              <w:spacing w:line="400" w:lineRule="exact"/>
              <w:textAlignment w:val="auto"/>
              <w:rPr>
                <w:rFonts w:hint="eastAsia" w:ascii="宋体" w:hAnsi="宋体"/>
                <w:b/>
                <w:sz w:val="21"/>
                <w:szCs w:val="21"/>
              </w:rPr>
            </w:pPr>
            <w:r>
              <w:rPr>
                <w:rFonts w:hint="eastAsia" w:ascii="宋体" w:hAnsi="宋体"/>
                <w:b/>
                <w:sz w:val="21"/>
                <w:szCs w:val="21"/>
                <w:lang w:eastAsia="zh-CN"/>
              </w:rPr>
              <w:t>☑</w:t>
            </w:r>
            <w:r>
              <w:rPr>
                <w:rFonts w:hint="eastAsia" w:ascii="宋体" w:hAnsi="宋体"/>
                <w:b/>
                <w:sz w:val="21"/>
                <w:szCs w:val="21"/>
              </w:rPr>
              <w:t>质量</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sz w:val="21"/>
                <w:szCs w:val="21"/>
              </w:rPr>
            </w:pPr>
            <w:r>
              <w:rPr>
                <w:rFonts w:hint="eastAsia"/>
                <w:sz w:val="21"/>
                <w:szCs w:val="21"/>
                <w:lang w:val="en-US" w:eastAsia="zh-CN"/>
              </w:rPr>
              <w:t>1.</w:t>
            </w:r>
            <w:r>
              <w:rPr>
                <w:rFonts w:hint="eastAsia"/>
                <w:sz w:val="21"/>
                <w:szCs w:val="21"/>
              </w:rPr>
              <w:t>管理方针：</w:t>
            </w:r>
            <w:r>
              <w:rPr>
                <w:rFonts w:hint="eastAsia"/>
                <w:b w:val="0"/>
                <w:bCs w:val="0"/>
                <w:sz w:val="21"/>
                <w:szCs w:val="21"/>
              </w:rPr>
              <w:t>科学管理，遵守法规，预防污染，持续改进，为社会及员工提供一个健康、安全的工作生活环境，提供用户满意的优质产品，创国内一流品牌</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sz w:val="21"/>
                <w:szCs w:val="21"/>
              </w:rPr>
            </w:pPr>
            <w:r>
              <w:rPr>
                <w:rFonts w:hint="eastAsia"/>
                <w:sz w:val="21"/>
                <w:szCs w:val="21"/>
              </w:rPr>
              <w:t>2.管理方针与企业的经营宗旨相适应，协调一致；</w:t>
            </w:r>
          </w:p>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宋体" w:hAnsi="宋体"/>
                <w:b/>
                <w:sz w:val="21"/>
                <w:szCs w:val="21"/>
              </w:rPr>
            </w:pPr>
            <w:r>
              <w:rPr>
                <w:rFonts w:hint="eastAsia"/>
                <w:sz w:val="21"/>
                <w:szCs w:val="21"/>
              </w:rPr>
              <w:t>3.通过会议传达，沟通，让全体员工理解执行。并定期进行评审（一般一年一次）。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0" w:hRule="atLeast"/>
          <w:jc w:val="center"/>
        </w:trPr>
        <w:tc>
          <w:tcPr>
            <w:tcW w:w="681" w:type="dxa"/>
            <w:vMerge w:val="continue"/>
            <w:textDirection w:val="tbRlV"/>
            <w:vAlign w:val="center"/>
          </w:tcPr>
          <w:p>
            <w:pPr>
              <w:spacing w:line="240" w:lineRule="exact"/>
              <w:ind w:left="241" w:right="113" w:hanging="241" w:hangingChars="100"/>
              <w:jc w:val="center"/>
              <w:rPr>
                <w:rFonts w:ascii="宋体"/>
                <w:b/>
                <w:szCs w:val="21"/>
              </w:rPr>
            </w:pPr>
          </w:p>
        </w:tc>
        <w:tc>
          <w:tcPr>
            <w:tcW w:w="9237" w:type="dxa"/>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b/>
                <w:sz w:val="21"/>
                <w:szCs w:val="21"/>
              </w:rPr>
            </w:pPr>
            <w:r>
              <w:rPr>
                <w:rFonts w:hint="eastAsia" w:ascii="宋体" w:hAnsi="宋体"/>
                <w:b/>
                <w:sz w:val="21"/>
                <w:szCs w:val="21"/>
                <w:lang w:val="en-US" w:eastAsia="zh-CN"/>
              </w:rPr>
              <w:t>4.</w:t>
            </w:r>
            <w:r>
              <w:rPr>
                <w:rFonts w:hint="eastAsia" w:ascii="宋体" w:hAnsi="宋体"/>
                <w:b/>
                <w:sz w:val="21"/>
                <w:szCs w:val="21"/>
              </w:rPr>
              <w:t>风险识别与控制策划</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b/>
                <w:sz w:val="21"/>
                <w:szCs w:val="21"/>
              </w:rPr>
            </w:pPr>
            <w:r>
              <w:rPr>
                <w:rFonts w:hint="eastAsia" w:ascii="Times New Roman" w:hAnsi="Times New Roman" w:cs="Times New Roman"/>
                <w:sz w:val="21"/>
                <w:szCs w:val="21"/>
                <w:u w:val="none"/>
              </w:rPr>
              <w:t>公司</w:t>
            </w:r>
            <w:r>
              <w:rPr>
                <w:rFonts w:hint="eastAsia" w:ascii="Times New Roman" w:hAnsi="Times New Roman" w:cs="Times New Roman"/>
                <w:sz w:val="21"/>
                <w:szCs w:val="21"/>
                <w:u w:val="none"/>
                <w:lang w:val="en-US" w:eastAsia="zh-CN"/>
              </w:rPr>
              <w:t>编制</w:t>
            </w:r>
            <w:r>
              <w:rPr>
                <w:rFonts w:hint="eastAsia" w:ascii="Times New Roman" w:hAnsi="Times New Roman" w:cs="Times New Roman"/>
                <w:sz w:val="21"/>
                <w:szCs w:val="21"/>
                <w:u w:val="none"/>
              </w:rPr>
              <w:t>《应对风险和机遇的措施表》，公司</w:t>
            </w:r>
            <w:r>
              <w:rPr>
                <w:rFonts w:hint="eastAsia" w:ascii="Times New Roman" w:hAnsi="Times New Roman" w:cs="Times New Roman"/>
                <w:sz w:val="21"/>
                <w:szCs w:val="21"/>
                <w:u w:val="none"/>
                <w:lang w:val="en-US" w:eastAsia="zh-CN"/>
              </w:rPr>
              <w:t>分别从顾客过程、公司内部、外部供方、外部环境等方面</w:t>
            </w:r>
            <w:r>
              <w:rPr>
                <w:rFonts w:hint="eastAsia" w:ascii="Times New Roman" w:hAnsi="Times New Roman" w:cs="Times New Roman"/>
                <w:sz w:val="21"/>
                <w:szCs w:val="21"/>
                <w:u w:val="none"/>
              </w:rPr>
              <w:t>识别了必要的风险和机遇，如：方针和目标变更的需求，</w:t>
            </w:r>
            <w:r>
              <w:rPr>
                <w:rFonts w:hint="eastAsia" w:ascii="Times New Roman" w:hAnsi="Times New Roman" w:cs="Times New Roman"/>
                <w:sz w:val="21"/>
                <w:szCs w:val="21"/>
                <w:u w:val="none"/>
                <w:lang w:val="en-US" w:eastAsia="zh-CN"/>
              </w:rPr>
              <w:t>环境</w:t>
            </w:r>
            <w:r>
              <w:rPr>
                <w:rFonts w:hint="eastAsia" w:ascii="Times New Roman" w:hAnsi="Times New Roman" w:cs="Times New Roman"/>
                <w:sz w:val="21"/>
                <w:szCs w:val="21"/>
                <w:u w:val="none"/>
              </w:rPr>
              <w:t>标准变更，原材料变更，工艺变更</w:t>
            </w:r>
            <w:r>
              <w:rPr>
                <w:rFonts w:hint="eastAsia" w:ascii="Times New Roman" w:hAnsi="Times New Roman" w:cs="Times New Roman"/>
                <w:sz w:val="21"/>
                <w:szCs w:val="21"/>
                <w:u w:val="none"/>
                <w:lang w:eastAsia="zh-CN"/>
              </w:rPr>
              <w:t>、</w:t>
            </w:r>
            <w:r>
              <w:rPr>
                <w:rFonts w:hint="eastAsia" w:ascii="Times New Roman" w:hAnsi="Times New Roman" w:cs="Times New Roman"/>
                <w:sz w:val="21"/>
                <w:szCs w:val="21"/>
                <w:u w:val="none"/>
                <w:lang w:val="en-US" w:eastAsia="zh-CN"/>
              </w:rPr>
              <w:t>法律法规变更、外部环境（包括空气 水的变化）</w:t>
            </w:r>
            <w:r>
              <w:rPr>
                <w:rFonts w:hint="eastAsia" w:ascii="Times New Roman" w:hAnsi="Times New Roman" w:cs="Times New Roman"/>
                <w:sz w:val="21"/>
                <w:szCs w:val="21"/>
                <w:u w:val="none"/>
              </w:rPr>
              <w:t>等风险，制定了相应的应对措施，制定了负责的部门和具体的实施方案，需要的资金和日程安排</w:t>
            </w:r>
            <w:r>
              <w:rPr>
                <w:rFonts w:hint="eastAsia" w:ascii="Times New Roman" w:hAnsi="Times New Roman" w:cs="Times New Roman"/>
                <w:sz w:val="21"/>
                <w:szCs w:val="21"/>
                <w:u w:val="none"/>
                <w:lang w:val="en-US" w:eastAsia="zh-CN"/>
              </w:rPr>
              <w:t>等，</w:t>
            </w:r>
            <w:r>
              <w:rPr>
                <w:rFonts w:hint="eastAsia" w:ascii="Times New Roman" w:hAnsi="Times New Roman" w:cs="Times New Roman"/>
                <w:sz w:val="21"/>
                <w:szCs w:val="21"/>
                <w:u w:val="none"/>
              </w:rPr>
              <w:t>如针对</w:t>
            </w:r>
            <w:r>
              <w:rPr>
                <w:rFonts w:hint="eastAsia" w:ascii="Times New Roman" w:hAnsi="Times New Roman" w:cs="Times New Roman"/>
                <w:sz w:val="21"/>
                <w:szCs w:val="21"/>
                <w:u w:val="none"/>
                <w:lang w:val="en-US" w:eastAsia="zh-CN"/>
              </w:rPr>
              <w:t>法律法规</w:t>
            </w:r>
            <w:r>
              <w:rPr>
                <w:rFonts w:hint="eastAsia" w:ascii="Times New Roman" w:hAnsi="Times New Roman" w:cs="Times New Roman"/>
                <w:sz w:val="21"/>
                <w:szCs w:val="21"/>
                <w:u w:val="none"/>
              </w:rPr>
              <w:t>的变更，由</w:t>
            </w:r>
            <w:r>
              <w:rPr>
                <w:rFonts w:hint="eastAsia" w:ascii="Times New Roman" w:hAnsi="Times New Roman" w:cs="Times New Roman"/>
                <w:sz w:val="21"/>
                <w:szCs w:val="21"/>
                <w:u w:val="none"/>
                <w:lang w:val="en-US" w:eastAsia="zh-CN"/>
              </w:rPr>
              <w:t>办公室</w:t>
            </w:r>
            <w:r>
              <w:rPr>
                <w:rFonts w:hint="eastAsia" w:ascii="Times New Roman" w:hAnsi="Times New Roman" w:cs="Times New Roman"/>
                <w:sz w:val="21"/>
                <w:szCs w:val="21"/>
                <w:u w:val="none"/>
                <w:lang w:eastAsia="zh-CN"/>
              </w:rPr>
              <w:t>紧密与</w:t>
            </w:r>
            <w:r>
              <w:rPr>
                <w:rFonts w:hint="eastAsia" w:ascii="Times New Roman" w:hAnsi="Times New Roman" w:cs="Times New Roman"/>
                <w:sz w:val="21"/>
                <w:szCs w:val="21"/>
                <w:u w:val="none"/>
                <w:lang w:val="en-US" w:eastAsia="zh-CN"/>
              </w:rPr>
              <w:t>行政部门</w:t>
            </w:r>
            <w:r>
              <w:rPr>
                <w:rFonts w:hint="eastAsia" w:ascii="Times New Roman" w:hAnsi="Times New Roman" w:cs="Times New Roman"/>
                <w:sz w:val="21"/>
                <w:szCs w:val="21"/>
                <w:u w:val="none"/>
                <w:lang w:eastAsia="zh-CN"/>
              </w:rPr>
              <w:t>沟通</w:t>
            </w:r>
            <w:r>
              <w:rPr>
                <w:rFonts w:hint="eastAsia" w:ascii="Times New Roman" w:hAnsi="Times New Roman" w:cs="Times New Roman"/>
                <w:sz w:val="21"/>
                <w:szCs w:val="21"/>
                <w:u w:val="none"/>
              </w:rPr>
              <w:t>，是否有更新的需求</w:t>
            </w:r>
            <w:r>
              <w:rPr>
                <w:rFonts w:hint="eastAsia" w:ascii="Times New Roman" w:hAnsi="Times New Roman" w:cs="Times New Roman"/>
                <w:sz w:val="21"/>
                <w:szCs w:val="21"/>
                <w:u w:val="none"/>
                <w:lang w:eastAsia="zh-CN"/>
              </w:rPr>
              <w:t>，</w:t>
            </w:r>
            <w:r>
              <w:rPr>
                <w:rFonts w:hint="eastAsia" w:ascii="Times New Roman" w:hAnsi="Times New Roman" w:cs="Times New Roman"/>
                <w:sz w:val="21"/>
                <w:szCs w:val="21"/>
                <w:u w:val="none"/>
                <w:lang w:val="en-US" w:eastAsia="zh-CN"/>
              </w:rPr>
              <w:t>经查</w:t>
            </w:r>
            <w:r>
              <w:rPr>
                <w:rFonts w:hint="eastAsia" w:ascii="Times New Roman" w:hAnsi="Times New Roman" w:cs="Times New Roman"/>
                <w:sz w:val="21"/>
                <w:szCs w:val="21"/>
                <w:u w:val="none"/>
              </w:rPr>
              <w:t>暂无变更需求</w:t>
            </w:r>
            <w:r>
              <w:rPr>
                <w:rFonts w:hint="eastAsia" w:ascii="Times New Roman" w:hAnsi="Times New Roman" w:cs="Times New Roman"/>
                <w:sz w:val="21"/>
                <w:szCs w:val="21"/>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0" w:hRule="atLeast"/>
          <w:jc w:val="center"/>
        </w:trPr>
        <w:tc>
          <w:tcPr>
            <w:tcW w:w="681" w:type="dxa"/>
            <w:vMerge w:val="continue"/>
            <w:textDirection w:val="tbRlV"/>
            <w:vAlign w:val="center"/>
          </w:tcPr>
          <w:p>
            <w:pPr>
              <w:spacing w:line="240" w:lineRule="exact"/>
              <w:ind w:left="241" w:right="113" w:hanging="241" w:hangingChars="100"/>
              <w:jc w:val="center"/>
              <w:rPr>
                <w:rFonts w:ascii="宋体"/>
                <w:b/>
                <w:szCs w:val="21"/>
              </w:rPr>
            </w:pPr>
          </w:p>
        </w:tc>
        <w:tc>
          <w:tcPr>
            <w:tcW w:w="9237"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
                <w:color w:val="000000" w:themeColor="text1"/>
                <w:sz w:val="21"/>
                <w:szCs w:val="21"/>
              </w:rPr>
            </w:pPr>
            <w:r>
              <w:rPr>
                <w:b/>
                <w:sz w:val="21"/>
                <w:szCs w:val="21"/>
              </w:rPr>
              <w:t>5.QMS</w:t>
            </w:r>
            <w:r>
              <w:rPr>
                <w:rFonts w:hint="eastAsia" w:ascii="宋体" w:hAnsi="宋体"/>
                <w:b/>
                <w:sz w:val="21"/>
                <w:szCs w:val="21"/>
              </w:rPr>
              <w:t>过程</w:t>
            </w:r>
          </w:p>
          <w:p>
            <w:pPr>
              <w:keepNext w:val="0"/>
              <w:keepLines w:val="0"/>
              <w:pageBreakBefore w:val="0"/>
              <w:widowControl w:val="0"/>
              <w:tabs>
                <w:tab w:val="left" w:pos="540"/>
              </w:tabs>
              <w:kinsoku/>
              <w:wordWrap/>
              <w:overflowPunct/>
              <w:topLinePunct w:val="0"/>
              <w:autoSpaceDE/>
              <w:autoSpaceDN/>
              <w:bidi w:val="0"/>
              <w:adjustRightInd/>
              <w:snapToGrid/>
              <w:spacing w:line="40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sz w:val="21"/>
                <w:szCs w:val="21"/>
                <w:lang w:val="en-US" w:eastAsia="zh-CN"/>
              </w:rPr>
              <w:t>生产和服务提供过程；产品和服务的放行；销售过程；</w:t>
            </w:r>
            <w:r>
              <w:rPr>
                <w:rFonts w:hint="eastAsia" w:ascii="宋体" w:hAnsi="宋体" w:eastAsia="宋体" w:cs="宋体"/>
                <w:kern w:val="0"/>
                <w:sz w:val="21"/>
                <w:szCs w:val="21"/>
                <w:lang w:eastAsia="zh-CN"/>
              </w:rPr>
              <w:t>外部提供产品、服务和过程</w:t>
            </w:r>
          </w:p>
          <w:p>
            <w:pPr>
              <w:keepNext w:val="0"/>
              <w:keepLines w:val="0"/>
              <w:pageBreakBefore w:val="0"/>
              <w:widowControl w:val="0"/>
              <w:tabs>
                <w:tab w:val="left" w:pos="540"/>
              </w:tabs>
              <w:kinsoku/>
              <w:wordWrap/>
              <w:overflowPunct/>
              <w:topLinePunct w:val="0"/>
              <w:autoSpaceDE/>
              <w:autoSpaceDN/>
              <w:bidi w:val="0"/>
              <w:adjustRightInd/>
              <w:snapToGrid/>
              <w:spacing w:line="40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val="0"/>
                <w:bCs/>
                <w:color w:val="000000" w:themeColor="text1"/>
                <w:sz w:val="20"/>
                <w:szCs w:val="20"/>
                <w:u w:val="single"/>
              </w:rPr>
              <w:t xml:space="preserve"> </w:t>
            </w:r>
            <w:r>
              <w:rPr>
                <w:rFonts w:hint="eastAsia" w:ascii="宋体" w:hAnsi="宋体"/>
                <w:b w:val="0"/>
                <w:bCs/>
                <w:color w:val="000000" w:themeColor="text1"/>
                <w:sz w:val="20"/>
                <w:szCs w:val="20"/>
                <w:u w:val="single"/>
                <w:lang w:val="en-US" w:eastAsia="zh-CN"/>
              </w:rPr>
              <w:t>挤出过程、销售过程</w:t>
            </w:r>
            <w:r>
              <w:rPr>
                <w:rFonts w:hint="eastAsia" w:ascii="宋体" w:hAnsi="宋体"/>
                <w:b w:val="0"/>
                <w:bCs/>
                <w:color w:val="000000" w:themeColor="text1"/>
                <w:sz w:val="20"/>
                <w:szCs w:val="20"/>
                <w:u w:val="single"/>
              </w:rPr>
              <w:t xml:space="preserve"> </w:t>
            </w:r>
            <w:r>
              <w:rPr>
                <w:rFonts w:hint="eastAsia" w:ascii="宋体" w:hAnsi="宋体"/>
                <w:b/>
                <w:color w:val="000000" w:themeColor="text1"/>
                <w:sz w:val="20"/>
                <w:szCs w:val="20"/>
                <w:u w:val="single"/>
              </w:rPr>
              <w:t xml:space="preserve"> ，</w:t>
            </w:r>
          </w:p>
          <w:p>
            <w:pPr>
              <w:keepNext w:val="0"/>
              <w:keepLines w:val="0"/>
              <w:pageBreakBefore w:val="0"/>
              <w:widowControl w:val="0"/>
              <w:tabs>
                <w:tab w:val="left" w:pos="540"/>
              </w:tabs>
              <w:kinsoku/>
              <w:wordWrap/>
              <w:overflowPunct/>
              <w:topLinePunct w:val="0"/>
              <w:autoSpaceDE/>
              <w:autoSpaceDN/>
              <w:bidi w:val="0"/>
              <w:adjustRightInd/>
              <w:snapToGrid/>
              <w:spacing w:line="40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r>
              <w:rPr>
                <w:rFonts w:hint="eastAsia" w:ascii="宋体" w:hAnsi="宋体"/>
                <w:b w:val="0"/>
                <w:bCs/>
                <w:color w:val="000000" w:themeColor="text1"/>
                <w:sz w:val="20"/>
                <w:szCs w:val="20"/>
                <w:u w:val="single"/>
                <w:lang w:val="en-US" w:eastAsia="zh-CN"/>
              </w:rPr>
              <w:t>无</w:t>
            </w:r>
            <w:r>
              <w:rPr>
                <w:rFonts w:hint="eastAsia" w:ascii="宋体" w:hAnsi="宋体"/>
                <w:b/>
                <w:color w:val="000000" w:themeColor="text1"/>
                <w:sz w:val="20"/>
                <w:szCs w:val="20"/>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Times New Roman" w:hAnsi="Times New Roman" w:eastAsia="宋体" w:cs="Times New Roman"/>
                <w:sz w:val="21"/>
                <w:szCs w:val="21"/>
                <w:u w:val="none"/>
                <w:lang w:eastAsia="zh-CN"/>
              </w:rPr>
            </w:pPr>
            <w:r>
              <w:rPr>
                <w:rFonts w:hint="eastAsia" w:ascii="宋体" w:hAnsi="宋体"/>
                <w:b/>
                <w:color w:val="000000" w:themeColor="text1"/>
                <w:sz w:val="20"/>
                <w:szCs w:val="20"/>
              </w:rPr>
              <w:t>不适用条款是</w:t>
            </w:r>
            <w:r>
              <w:rPr>
                <w:rFonts w:hint="default" w:ascii="Times New Roman" w:hAnsi="Times New Roman" w:cs="Times New Roman"/>
                <w:b w:val="0"/>
                <w:bCs/>
                <w:color w:val="000000" w:themeColor="text1"/>
                <w:sz w:val="21"/>
                <w:szCs w:val="21"/>
                <w:u w:val="single"/>
              </w:rPr>
              <w:t xml:space="preserve"> </w:t>
            </w:r>
            <w:r>
              <w:rPr>
                <w:rFonts w:hint="default" w:ascii="Times New Roman" w:hAnsi="Times New Roman" w:cs="Times New Roman"/>
                <w:b w:val="0"/>
                <w:bCs/>
                <w:color w:val="000000" w:themeColor="text1"/>
                <w:sz w:val="21"/>
                <w:szCs w:val="21"/>
                <w:u w:val="single"/>
                <w:lang w:val="en-US" w:eastAsia="zh-CN"/>
              </w:rPr>
              <w:t>8.3</w:t>
            </w:r>
            <w:r>
              <w:rPr>
                <w:rFonts w:hint="eastAsia" w:ascii="宋体" w:hAnsi="宋体"/>
                <w:b/>
                <w:color w:val="000000" w:themeColor="text1"/>
                <w:sz w:val="20"/>
                <w:szCs w:val="20"/>
              </w:rPr>
              <w:t>，不适用理由：</w:t>
            </w:r>
            <w:r>
              <w:rPr>
                <w:rFonts w:hint="eastAsia"/>
                <w:sz w:val="21"/>
                <w:szCs w:val="21"/>
              </w:rPr>
              <w:t>产品依据国家标准、行业标准、客户要求</w:t>
            </w:r>
            <w:r>
              <w:rPr>
                <w:rFonts w:hint="eastAsia"/>
                <w:sz w:val="21"/>
                <w:szCs w:val="21"/>
                <w:lang w:val="en-US" w:eastAsia="zh-CN"/>
              </w:rPr>
              <w:t>生产、销售</w:t>
            </w:r>
            <w:r>
              <w:rPr>
                <w:rFonts w:hint="eastAsia"/>
                <w:sz w:val="21"/>
                <w:szCs w:val="21"/>
              </w:rPr>
              <w:t>，目前工艺流程简单成熟，</w:t>
            </w:r>
            <w:r>
              <w:rPr>
                <w:rFonts w:hint="eastAsia"/>
                <w:sz w:val="21"/>
                <w:szCs w:val="21"/>
                <w:lang w:val="en-US" w:eastAsia="zh-CN"/>
              </w:rPr>
              <w:t>销售模式固定，</w:t>
            </w:r>
            <w:r>
              <w:rPr>
                <w:rFonts w:hint="eastAsia"/>
                <w:sz w:val="21"/>
                <w:szCs w:val="21"/>
              </w:rPr>
              <w:t>无设计开发要求，故不适用8.3条款，不影响组织确保其产品和服务合格的能力或责任，对增强顾客满意也不会产生影响</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1" w:hRule="atLeast"/>
          <w:jc w:val="center"/>
        </w:trPr>
        <w:tc>
          <w:tcPr>
            <w:tcW w:w="681" w:type="dxa"/>
            <w:vMerge w:val="continue"/>
            <w:vAlign w:val="center"/>
          </w:tcPr>
          <w:p>
            <w:pPr>
              <w:spacing w:line="240" w:lineRule="exact"/>
              <w:jc w:val="center"/>
              <w:rPr>
                <w:b/>
                <w:sz w:val="20"/>
              </w:rPr>
            </w:pPr>
          </w:p>
        </w:tc>
        <w:tc>
          <w:tcPr>
            <w:tcW w:w="9237" w:type="dxa"/>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b/>
                <w:sz w:val="21"/>
                <w:szCs w:val="21"/>
              </w:rPr>
            </w:pPr>
            <w:r>
              <w:rPr>
                <w:rFonts w:hint="eastAsia" w:ascii="宋体" w:hAnsi="宋体"/>
                <w:b/>
                <w:sz w:val="21"/>
                <w:szCs w:val="21"/>
                <w:lang w:val="en-US" w:eastAsia="zh-CN"/>
              </w:rPr>
              <w:t>6</w:t>
            </w:r>
            <w:r>
              <w:rPr>
                <w:rFonts w:ascii="宋体" w:hAnsi="宋体"/>
                <w:b/>
                <w:sz w:val="21"/>
                <w:szCs w:val="21"/>
              </w:rPr>
              <w:t xml:space="preserve">.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b/>
                <w:sz w:val="21"/>
                <w:szCs w:val="21"/>
              </w:rPr>
            </w:pPr>
            <w:r>
              <w:rPr>
                <w:rFonts w:hint="eastAsia" w:ascii="宋体" w:hAnsi="宋体"/>
                <w:sz w:val="21"/>
                <w:szCs w:val="21"/>
                <w:lang w:val="en-US" w:eastAsia="zh-CN"/>
              </w:rPr>
              <w:t>办公室组织全体部门对所涉及的环境因素进行识别，并评价出重要环境因素，提供环境因素评价记录，目前环境因素识别基本完整，评价的重要环境因素有</w:t>
            </w:r>
            <w:r>
              <w:rPr>
                <w:rFonts w:hint="eastAsia"/>
                <w:sz w:val="21"/>
                <w:szCs w:val="21"/>
                <w:lang w:val="en-US" w:eastAsia="zh-CN"/>
              </w:rPr>
              <w:t>固体废弃物排放、噪声排放、粉尘排放、意外火灾的发生</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8" w:hRule="atLeast"/>
          <w:jc w:val="center"/>
        </w:trPr>
        <w:tc>
          <w:tcPr>
            <w:tcW w:w="681" w:type="dxa"/>
            <w:vMerge w:val="continue"/>
            <w:vAlign w:val="center"/>
          </w:tcPr>
          <w:p>
            <w:pPr>
              <w:spacing w:line="240" w:lineRule="exact"/>
              <w:jc w:val="center"/>
              <w:rPr>
                <w:b/>
                <w:sz w:val="20"/>
              </w:rPr>
            </w:pPr>
          </w:p>
        </w:tc>
        <w:tc>
          <w:tcPr>
            <w:tcW w:w="9237" w:type="dxa"/>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b/>
                <w:sz w:val="21"/>
                <w:szCs w:val="21"/>
              </w:rPr>
            </w:pPr>
            <w:r>
              <w:rPr>
                <w:rFonts w:hint="eastAsia" w:ascii="宋体" w:hAnsi="宋体"/>
                <w:b/>
                <w:sz w:val="21"/>
                <w:szCs w:val="21"/>
                <w:lang w:val="en-US" w:eastAsia="zh-CN"/>
              </w:rPr>
              <w:t>7</w:t>
            </w:r>
            <w:r>
              <w:rPr>
                <w:rFonts w:ascii="宋体" w:hAnsi="宋体"/>
                <w:b/>
                <w:sz w:val="21"/>
                <w:szCs w:val="21"/>
              </w:rPr>
              <w:t xml:space="preserve">. </w:t>
            </w:r>
            <w:r>
              <w:rPr>
                <w:rFonts w:hint="eastAsia" w:ascii="宋体" w:hAnsi="宋体"/>
                <w:b/>
                <w:sz w:val="21"/>
                <w:szCs w:val="21"/>
                <w:lang w:eastAsia="zh-CN"/>
              </w:rPr>
              <w:t>☑</w:t>
            </w:r>
            <w:r>
              <w:rPr>
                <w:rFonts w:ascii="宋体" w:hAnsi="宋体"/>
                <w:b/>
                <w:sz w:val="21"/>
                <w:szCs w:val="21"/>
              </w:rPr>
              <w:t>OHSMS</w:t>
            </w:r>
            <w:r>
              <w:rPr>
                <w:rFonts w:hint="eastAsia" w:ascii="宋体" w:hAnsi="宋体"/>
                <w:b/>
                <w:sz w:val="21"/>
                <w:szCs w:val="21"/>
              </w:rPr>
              <w:t>职业健康安全危险源</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b/>
                <w:sz w:val="21"/>
                <w:szCs w:val="21"/>
              </w:rPr>
            </w:pPr>
            <w:r>
              <w:rPr>
                <w:rFonts w:hint="eastAsia" w:ascii="宋体" w:hAnsi="宋体"/>
                <w:sz w:val="21"/>
                <w:szCs w:val="21"/>
                <w:lang w:val="en-US" w:eastAsia="zh-CN"/>
              </w:rPr>
              <w:t>办公室组织全体部门对所涉及的危险源进行识别，并评价出重大危险源，提供重大危险源评价记录，目前危险源识别基本完整，评价的不可接受风险为火</w:t>
            </w:r>
            <w:r>
              <w:rPr>
                <w:rFonts w:hint="eastAsia"/>
                <w:sz w:val="21"/>
                <w:szCs w:val="21"/>
                <w:lang w:val="en-US" w:eastAsia="zh-CN"/>
              </w:rPr>
              <w:t>灾、触电、机械伤害、粉尘伤害、噪声伤害</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US" w:eastAsia="zh-CN"/>
              </w:rPr>
              <w:t>危险源</w:t>
            </w:r>
            <w:r>
              <w:rPr>
                <w:rFonts w:hint="eastAsia" w:ascii="宋体" w:hAnsi="宋体" w:eastAsia="宋体" w:cs="宋体"/>
                <w:color w:val="auto"/>
                <w:kern w:val="2"/>
                <w:sz w:val="21"/>
                <w:szCs w:val="21"/>
                <w:lang w:val="en-GB" w:eastAsia="zh-CN"/>
              </w:rPr>
              <w:t>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7" w:hRule="atLeast"/>
          <w:jc w:val="center"/>
        </w:trPr>
        <w:tc>
          <w:tcPr>
            <w:tcW w:w="681" w:type="dxa"/>
            <w:vMerge w:val="continue"/>
            <w:vAlign w:val="center"/>
          </w:tcPr>
          <w:p>
            <w:pPr>
              <w:spacing w:line="240" w:lineRule="exact"/>
              <w:jc w:val="center"/>
              <w:rPr>
                <w:b/>
                <w:sz w:val="20"/>
              </w:rPr>
            </w:pPr>
          </w:p>
        </w:tc>
        <w:tc>
          <w:tcPr>
            <w:tcW w:w="9237" w:type="dxa"/>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b/>
                <w:sz w:val="21"/>
                <w:szCs w:val="21"/>
              </w:rPr>
            </w:pPr>
            <w:r>
              <w:rPr>
                <w:rFonts w:hint="eastAsia" w:ascii="宋体" w:hAnsi="宋体"/>
                <w:b/>
                <w:sz w:val="21"/>
                <w:szCs w:val="21"/>
                <w:lang w:val="en-US" w:eastAsia="zh-CN"/>
              </w:rPr>
              <w:t>8</w:t>
            </w:r>
            <w:r>
              <w:rPr>
                <w:rFonts w:ascii="宋体" w:hAnsi="宋体"/>
                <w:b/>
                <w:sz w:val="21"/>
                <w:szCs w:val="21"/>
              </w:rPr>
              <w:t xml:space="preserve">. </w:t>
            </w:r>
            <w:r>
              <w:rPr>
                <w:rFonts w:hint="eastAsia" w:ascii="宋体" w:hAnsi="宋体"/>
                <w:b/>
                <w:sz w:val="21"/>
                <w:szCs w:val="21"/>
              </w:rPr>
              <w:t>法律法规及其他要求</w:t>
            </w:r>
          </w:p>
          <w:p>
            <w:pPr>
              <w:pStyle w:val="13"/>
              <w:keepNext w:val="0"/>
              <w:keepLines w:val="0"/>
              <w:pageBreakBefore w:val="0"/>
              <w:numPr>
                <w:ilvl w:val="0"/>
                <w:numId w:val="3"/>
              </w:numPr>
              <w:tabs>
                <w:tab w:val="left" w:pos="540"/>
              </w:tabs>
              <w:kinsoku/>
              <w:wordWrap/>
              <w:overflowPunct/>
              <w:topLinePunct w:val="0"/>
              <w:autoSpaceDE/>
              <w:autoSpaceDN/>
              <w:bidi w:val="0"/>
              <w:adjustRightInd/>
              <w:snapToGrid/>
              <w:spacing w:line="400" w:lineRule="exact"/>
              <w:ind w:left="-12" w:leftChars="-43" w:hanging="91" w:hangingChars="43"/>
              <w:textAlignment w:val="auto"/>
              <w:rPr>
                <w:rFonts w:ascii="宋体" w:hAnsi="宋体"/>
                <w:b/>
                <w:szCs w:val="21"/>
              </w:rPr>
            </w:pPr>
            <w:r>
              <w:rPr>
                <w:rFonts w:hint="eastAsia" w:ascii="宋体" w:hAnsi="宋体"/>
                <w:b/>
                <w:szCs w:val="21"/>
              </w:rPr>
              <w:t>获取法律法规项，</w:t>
            </w:r>
            <w:r>
              <w:rPr>
                <w:rFonts w:hint="eastAsia" w:ascii="宋体" w:hAnsi="宋体"/>
                <w:b/>
                <w:szCs w:val="21"/>
                <w:lang w:eastAsia="zh-CN"/>
              </w:rPr>
              <w:t>☑</w:t>
            </w:r>
            <w:r>
              <w:rPr>
                <w:rFonts w:hint="eastAsia" w:ascii="宋体" w:hAnsi="宋体"/>
                <w:b/>
                <w:szCs w:val="21"/>
              </w:rPr>
              <w:t>法律法规获取充分</w:t>
            </w:r>
          </w:p>
          <w:p>
            <w:pPr>
              <w:pStyle w:val="13"/>
              <w:keepNext w:val="0"/>
              <w:keepLines w:val="0"/>
              <w:pageBreakBefore w:val="0"/>
              <w:numPr>
                <w:ilvl w:val="0"/>
                <w:numId w:val="3"/>
              </w:numPr>
              <w:tabs>
                <w:tab w:val="left" w:pos="540"/>
              </w:tabs>
              <w:kinsoku/>
              <w:wordWrap/>
              <w:overflowPunct/>
              <w:topLinePunct w:val="0"/>
              <w:autoSpaceDE/>
              <w:autoSpaceDN/>
              <w:bidi w:val="0"/>
              <w:adjustRightInd/>
              <w:snapToGrid/>
              <w:spacing w:line="400" w:lineRule="exact"/>
              <w:ind w:firstLineChars="0"/>
              <w:textAlignment w:val="auto"/>
              <w:rPr>
                <w:rFonts w:ascii="宋体" w:hAnsi="宋体"/>
                <w:b/>
                <w:szCs w:val="21"/>
              </w:rPr>
            </w:pPr>
            <w:r>
              <w:rPr>
                <w:rFonts w:hint="eastAsia" w:ascii="宋体" w:hAnsi="宋体"/>
                <w:b/>
                <w:szCs w:val="21"/>
              </w:rPr>
              <w:t>结合公司的</w:t>
            </w:r>
            <w:r>
              <w:rPr>
                <w:rFonts w:hint="eastAsia" w:ascii="宋体" w:hAnsi="宋体"/>
                <w:b/>
                <w:szCs w:val="21"/>
                <w:lang w:eastAsia="zh-CN"/>
              </w:rPr>
              <w:t>☑</w:t>
            </w:r>
            <w:r>
              <w:rPr>
                <w:rFonts w:hint="eastAsia" w:ascii="宋体" w:hAnsi="宋体"/>
                <w:b/>
                <w:szCs w:val="21"/>
              </w:rPr>
              <w:t>产品</w:t>
            </w:r>
            <w:r>
              <w:rPr>
                <w:rFonts w:ascii="宋体" w:hAnsi="宋体"/>
                <w:b/>
                <w:szCs w:val="21"/>
              </w:rPr>
              <w:t>/</w:t>
            </w:r>
            <w:r>
              <w:rPr>
                <w:rFonts w:hint="eastAsia" w:ascii="宋体" w:hAnsi="宋体"/>
                <w:b/>
                <w:szCs w:val="21"/>
              </w:rPr>
              <w:t>服务</w:t>
            </w:r>
            <w:r>
              <w:rPr>
                <w:rFonts w:hint="eastAsia" w:ascii="宋体" w:hAnsi="宋体"/>
                <w:b/>
                <w:szCs w:val="21"/>
                <w:lang w:eastAsia="zh-CN"/>
              </w:rPr>
              <w:t>☑</w:t>
            </w:r>
            <w:r>
              <w:rPr>
                <w:rFonts w:hint="eastAsia" w:ascii="宋体" w:hAnsi="宋体"/>
                <w:b/>
                <w:szCs w:val="21"/>
              </w:rPr>
              <w:t>环境因素</w:t>
            </w:r>
            <w:r>
              <w:rPr>
                <w:rFonts w:hint="eastAsia" w:ascii="宋体" w:hAnsi="宋体"/>
                <w:b/>
                <w:szCs w:val="21"/>
                <w:lang w:eastAsia="zh-CN"/>
              </w:rPr>
              <w:t>☑</w:t>
            </w:r>
            <w:r>
              <w:rPr>
                <w:rFonts w:hint="eastAsia" w:ascii="宋体" w:hAnsi="宋体"/>
                <w:b/>
                <w:szCs w:val="21"/>
              </w:rPr>
              <w:t>危险源，</w:t>
            </w:r>
            <w:r>
              <w:rPr>
                <w:rFonts w:hint="eastAsia" w:ascii="宋体" w:hAnsi="宋体"/>
                <w:b/>
                <w:szCs w:val="21"/>
                <w:lang w:eastAsia="zh-CN"/>
              </w:rPr>
              <w:t>☑</w:t>
            </w:r>
            <w:r>
              <w:rPr>
                <w:rFonts w:hint="eastAsia" w:ascii="宋体" w:hAnsi="宋体"/>
                <w:b/>
                <w:szCs w:val="21"/>
              </w:rPr>
              <w:t>确定□未确定法律法规要求的具体条款，</w:t>
            </w:r>
          </w:p>
          <w:p>
            <w:pPr>
              <w:pStyle w:val="13"/>
              <w:keepNext w:val="0"/>
              <w:keepLines w:val="0"/>
              <w:pageBreakBefore w:val="0"/>
              <w:numPr>
                <w:ilvl w:val="0"/>
                <w:numId w:val="3"/>
              </w:numPr>
              <w:tabs>
                <w:tab w:val="left" w:pos="540"/>
              </w:tabs>
              <w:kinsoku/>
              <w:wordWrap/>
              <w:overflowPunct/>
              <w:topLinePunct w:val="0"/>
              <w:autoSpaceDE/>
              <w:autoSpaceDN/>
              <w:bidi w:val="0"/>
              <w:adjustRightInd/>
              <w:snapToGrid/>
              <w:spacing w:line="400" w:lineRule="exact"/>
              <w:ind w:firstLineChars="0"/>
              <w:textAlignment w:val="auto"/>
              <w:rPr>
                <w:rFonts w:ascii="宋体" w:hAnsi="宋体"/>
                <w:b/>
                <w:szCs w:val="21"/>
              </w:rPr>
            </w:pPr>
            <w:r>
              <w:rPr>
                <w:rFonts w:hint="eastAsia" w:ascii="宋体" w:hAnsi="宋体"/>
                <w:b/>
                <w:szCs w:val="21"/>
              </w:rPr>
              <w:t>法律法规的宣传方式：</w:t>
            </w:r>
            <w:r>
              <w:rPr>
                <w:rFonts w:hint="eastAsia" w:ascii="宋体" w:hAnsi="宋体"/>
                <w:b/>
                <w:szCs w:val="21"/>
                <w:lang w:val="en-US" w:eastAsia="zh-CN"/>
              </w:rPr>
              <w:t>培训</w:t>
            </w:r>
          </w:p>
          <w:p>
            <w:pPr>
              <w:pStyle w:val="13"/>
              <w:keepNext w:val="0"/>
              <w:keepLines w:val="0"/>
              <w:pageBreakBefore w:val="0"/>
              <w:numPr>
                <w:ilvl w:val="0"/>
                <w:numId w:val="3"/>
              </w:numPr>
              <w:tabs>
                <w:tab w:val="left" w:pos="540"/>
              </w:tabs>
              <w:kinsoku/>
              <w:wordWrap/>
              <w:overflowPunct/>
              <w:topLinePunct w:val="0"/>
              <w:autoSpaceDE/>
              <w:autoSpaceDN/>
              <w:bidi w:val="0"/>
              <w:adjustRightInd/>
              <w:snapToGrid/>
              <w:spacing w:line="400" w:lineRule="exact"/>
              <w:ind w:firstLineChars="0"/>
              <w:textAlignment w:val="auto"/>
              <w:rPr>
                <w:rFonts w:ascii="宋体" w:hAnsi="宋体"/>
                <w:b/>
                <w:sz w:val="21"/>
                <w:szCs w:val="21"/>
              </w:rPr>
            </w:pPr>
            <w:r>
              <w:rPr>
                <w:rFonts w:hint="eastAsia" w:ascii="宋体" w:hAnsi="宋体"/>
                <w:b/>
                <w:szCs w:val="21"/>
              </w:rPr>
              <w:t>法律法规要求及时更新</w:t>
            </w:r>
            <w:r>
              <w:rPr>
                <w:rFonts w:hint="eastAsia" w:ascii="宋体" w:hAnsi="宋体"/>
                <w:b/>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681" w:type="dxa"/>
            <w:vMerge w:val="continue"/>
            <w:vAlign w:val="center"/>
          </w:tcPr>
          <w:p>
            <w:pPr>
              <w:spacing w:line="240" w:lineRule="exact"/>
              <w:jc w:val="center"/>
              <w:rPr>
                <w:b/>
                <w:sz w:val="20"/>
              </w:rPr>
            </w:pPr>
          </w:p>
        </w:tc>
        <w:tc>
          <w:tcPr>
            <w:tcW w:w="9237" w:type="dxa"/>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b/>
                <w:sz w:val="21"/>
                <w:szCs w:val="21"/>
              </w:rPr>
            </w:pPr>
            <w:r>
              <w:rPr>
                <w:rFonts w:hint="eastAsia" w:ascii="宋体" w:hAnsi="宋体"/>
                <w:b/>
                <w:sz w:val="21"/>
                <w:szCs w:val="21"/>
                <w:lang w:val="en-US" w:eastAsia="zh-CN"/>
              </w:rPr>
              <w:t>9</w:t>
            </w:r>
            <w:r>
              <w:rPr>
                <w:rFonts w:ascii="宋体" w:hAnsi="宋体"/>
                <w:b/>
                <w:sz w:val="21"/>
                <w:szCs w:val="21"/>
              </w:rPr>
              <w:t xml:space="preserve">. </w:t>
            </w:r>
            <w:r>
              <w:rPr>
                <w:rFonts w:hint="eastAsia" w:ascii="宋体" w:hAnsi="宋体"/>
                <w:b/>
                <w:sz w:val="21"/>
                <w:szCs w:val="21"/>
              </w:rPr>
              <w:t>目标、方案（在相关层次上建立可测量的目标，目标、方案的有效性，对质量目标的实现情况进行评价并叙述测量方法）</w:t>
            </w:r>
          </w:p>
          <w:p>
            <w:pPr>
              <w:keepNext w:val="0"/>
              <w:keepLines w:val="0"/>
              <w:pageBreakBefore w:val="0"/>
              <w:kinsoku/>
              <w:wordWrap/>
              <w:overflowPunct/>
              <w:topLinePunct w:val="0"/>
              <w:autoSpaceDE/>
              <w:autoSpaceDN/>
              <w:bidi w:val="0"/>
              <w:adjustRightInd/>
              <w:snapToGrid/>
              <w:spacing w:line="400" w:lineRule="exact"/>
              <w:textAlignment w:val="auto"/>
              <w:rPr>
                <w:rFonts w:hint="eastAsia"/>
                <w:sz w:val="21"/>
                <w:szCs w:val="21"/>
                <w:u w:val="none"/>
                <w:lang w:eastAsia="zh-CN"/>
              </w:rPr>
            </w:pPr>
            <w:r>
              <w:rPr>
                <w:rFonts w:hint="eastAsia"/>
                <w:sz w:val="21"/>
                <w:szCs w:val="21"/>
              </w:rPr>
              <w:t>公司</w:t>
            </w:r>
            <w:r>
              <w:rPr>
                <w:rFonts w:hint="eastAsia"/>
                <w:sz w:val="21"/>
                <w:szCs w:val="21"/>
                <w:lang w:val="en-US" w:eastAsia="zh-CN"/>
              </w:rPr>
              <w:t>公司目标：产品一次交付合格率95%以上；</w:t>
            </w:r>
            <w:r>
              <w:rPr>
                <w:rFonts w:hint="eastAsia"/>
                <w:b w:val="0"/>
                <w:bCs w:val="0"/>
                <w:sz w:val="21"/>
                <w:szCs w:val="21"/>
              </w:rPr>
              <w:t>顾客满意度95分以上；固废分类处置率100%；</w:t>
            </w:r>
            <w:r>
              <w:rPr>
                <w:rFonts w:hint="eastAsia"/>
                <w:b w:val="0"/>
                <w:bCs w:val="0"/>
                <w:sz w:val="21"/>
                <w:szCs w:val="21"/>
                <w:lang w:val="en-US" w:eastAsia="zh-CN"/>
              </w:rPr>
              <w:t>粉尘、噪声达标排放；</w:t>
            </w:r>
            <w:r>
              <w:rPr>
                <w:rFonts w:hint="eastAsia"/>
                <w:b w:val="0"/>
                <w:bCs w:val="0"/>
                <w:sz w:val="21"/>
                <w:szCs w:val="21"/>
              </w:rPr>
              <w:t>轻伤事故少于3起/年；无火灾</w:t>
            </w:r>
            <w:r>
              <w:rPr>
                <w:rFonts w:hint="eastAsia"/>
                <w:b w:val="0"/>
                <w:bCs w:val="0"/>
                <w:sz w:val="21"/>
                <w:szCs w:val="21"/>
                <w:lang w:eastAsia="zh-CN"/>
              </w:rPr>
              <w:t>、</w:t>
            </w:r>
            <w:r>
              <w:rPr>
                <w:rFonts w:hint="eastAsia"/>
                <w:b w:val="0"/>
                <w:bCs w:val="0"/>
                <w:sz w:val="21"/>
                <w:szCs w:val="21"/>
                <w:lang w:val="en-US" w:eastAsia="zh-CN"/>
              </w:rPr>
              <w:t>触电</w:t>
            </w:r>
            <w:r>
              <w:rPr>
                <w:rFonts w:hint="eastAsia"/>
                <w:b w:val="0"/>
                <w:bCs w:val="0"/>
                <w:sz w:val="21"/>
                <w:szCs w:val="21"/>
              </w:rPr>
              <w:t>及重大安全事故发生</w:t>
            </w:r>
            <w:r>
              <w:rPr>
                <w:rFonts w:hint="eastAsia"/>
                <w:b w:val="0"/>
                <w:bCs w:val="0"/>
                <w:sz w:val="21"/>
                <w:szCs w:val="21"/>
                <w:lang w:eastAsia="zh-CN"/>
              </w:rPr>
              <w:t>；</w:t>
            </w:r>
            <w:r>
              <w:rPr>
                <w:rFonts w:hint="eastAsia"/>
                <w:b w:val="0"/>
                <w:bCs w:val="0"/>
                <w:sz w:val="21"/>
                <w:szCs w:val="21"/>
              </w:rPr>
              <w:t>无职业病发生</w:t>
            </w:r>
            <w:r>
              <w:rPr>
                <w:rFonts w:hint="eastAsia"/>
                <w:sz w:val="21"/>
                <w:szCs w:val="21"/>
                <w:u w:val="none"/>
              </w:rPr>
              <w:t>。</w:t>
            </w:r>
          </w:p>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b/>
                <w:sz w:val="21"/>
                <w:szCs w:val="21"/>
              </w:rPr>
            </w:pPr>
            <w:r>
              <w:rPr>
                <w:rFonts w:hint="eastAsia" w:ascii="Times New Roman" w:hAnsi="Times New Roman" w:cs="宋体"/>
                <w:sz w:val="21"/>
                <w:szCs w:val="21"/>
              </w:rPr>
              <w:t>提供了文件化可分解的目标</w:t>
            </w:r>
            <w:r>
              <w:rPr>
                <w:rFonts w:hint="eastAsia" w:ascii="Times New Roman" w:hAnsi="Times New Roman" w:cs="宋体"/>
                <w:sz w:val="21"/>
                <w:szCs w:val="21"/>
                <w:lang w:eastAsia="zh-CN"/>
              </w:rPr>
              <w:t>、指标</w:t>
            </w:r>
            <w:r>
              <w:rPr>
                <w:rFonts w:hint="eastAsia" w:ascii="Times New Roman" w:hAnsi="Times New Roman" w:cs="宋体"/>
                <w:sz w:val="21"/>
                <w:szCs w:val="21"/>
              </w:rPr>
              <w:t>，经查问分解到各部门，经查阅建立的</w:t>
            </w:r>
            <w:r>
              <w:rPr>
                <w:rFonts w:hint="eastAsia" w:ascii="Times New Roman" w:hAnsi="Times New Roman" w:cs="宋体"/>
                <w:sz w:val="21"/>
                <w:szCs w:val="21"/>
                <w:lang w:eastAsia="zh-CN"/>
              </w:rPr>
              <w:t>管理</w:t>
            </w:r>
            <w:r>
              <w:rPr>
                <w:rFonts w:hint="eastAsia" w:ascii="Times New Roman" w:hAnsi="Times New Roman" w:cs="宋体"/>
                <w:sz w:val="21"/>
                <w:szCs w:val="21"/>
              </w:rPr>
              <w:t>目标符合标准要求，在方针的框架下展开，每</w:t>
            </w:r>
            <w:r>
              <w:rPr>
                <w:rFonts w:hint="eastAsia" w:ascii="Times New Roman" w:hAnsi="Times New Roman" w:cs="宋体"/>
                <w:sz w:val="21"/>
                <w:szCs w:val="21"/>
                <w:lang w:val="en-US" w:eastAsia="zh-CN"/>
              </w:rPr>
              <w:t>季度</w:t>
            </w:r>
            <w:r>
              <w:rPr>
                <w:rFonts w:hint="eastAsia" w:ascii="Times New Roman" w:hAnsi="Times New Roman" w:cs="宋体"/>
                <w:sz w:val="21"/>
                <w:szCs w:val="21"/>
              </w:rPr>
              <w:t>考核一次，</w:t>
            </w:r>
            <w:r>
              <w:rPr>
                <w:rFonts w:hint="eastAsia" w:cs="宋体"/>
                <w:sz w:val="21"/>
                <w:szCs w:val="21"/>
                <w:lang w:val="en-US" w:eastAsia="zh-CN"/>
              </w:rPr>
              <w:t>查看</w:t>
            </w:r>
            <w:r>
              <w:rPr>
                <w:rFonts w:hint="eastAsia" w:ascii="Times New Roman" w:hAnsi="Times New Roman" w:cs="宋体"/>
                <w:sz w:val="21"/>
                <w:szCs w:val="21"/>
                <w:lang w:val="en-US" w:eastAsia="zh-CN"/>
              </w:rPr>
              <w:t>20</w:t>
            </w:r>
            <w:r>
              <w:rPr>
                <w:rFonts w:hint="eastAsia" w:cs="宋体"/>
                <w:sz w:val="21"/>
                <w:szCs w:val="21"/>
                <w:lang w:val="en-US" w:eastAsia="zh-CN"/>
              </w:rPr>
              <w:t>20</w:t>
            </w:r>
            <w:r>
              <w:rPr>
                <w:rFonts w:hint="eastAsia" w:ascii="Times New Roman" w:hAnsi="Times New Roman" w:cs="宋体"/>
                <w:sz w:val="21"/>
                <w:szCs w:val="21"/>
                <w:lang w:val="en-US" w:eastAsia="zh-CN"/>
              </w:rPr>
              <w:t>年</w:t>
            </w:r>
            <w:r>
              <w:rPr>
                <w:rFonts w:hint="eastAsia" w:cs="宋体"/>
                <w:sz w:val="21"/>
                <w:szCs w:val="21"/>
                <w:lang w:val="en-US" w:eastAsia="zh-CN"/>
              </w:rPr>
              <w:t>3</w:t>
            </w:r>
            <w:r>
              <w:rPr>
                <w:rFonts w:hint="eastAsia" w:ascii="Times New Roman" w:hAnsi="Times New Roman" w:cs="宋体"/>
                <w:sz w:val="21"/>
                <w:szCs w:val="21"/>
                <w:lang w:val="en-US" w:eastAsia="zh-CN"/>
              </w:rPr>
              <w:t>季度目标考核记录</w:t>
            </w:r>
            <w:r>
              <w:rPr>
                <w:rFonts w:hint="eastAsia" w:ascii="Times New Roman" w:hAnsi="Times New Roman" w:cs="宋体"/>
                <w:sz w:val="21"/>
                <w:szCs w:val="21"/>
              </w:rPr>
              <w:t>，</w:t>
            </w:r>
            <w:r>
              <w:rPr>
                <w:rFonts w:hint="eastAsia" w:ascii="Times New Roman" w:hAnsi="Times New Roman" w:cs="宋体"/>
                <w:sz w:val="21"/>
                <w:szCs w:val="21"/>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681" w:type="dxa"/>
            <w:vMerge w:val="continue"/>
            <w:vAlign w:val="center"/>
          </w:tcPr>
          <w:p>
            <w:pPr>
              <w:spacing w:line="240" w:lineRule="exact"/>
              <w:jc w:val="center"/>
              <w:rPr>
                <w:b/>
                <w:sz w:val="20"/>
              </w:rPr>
            </w:pPr>
          </w:p>
        </w:tc>
        <w:tc>
          <w:tcPr>
            <w:tcW w:w="9237" w:type="dxa"/>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b/>
                <w:sz w:val="21"/>
                <w:szCs w:val="21"/>
              </w:rPr>
            </w:pPr>
            <w:r>
              <w:rPr>
                <w:rFonts w:hint="eastAsia" w:ascii="宋体" w:hAnsi="宋体"/>
                <w:b/>
                <w:sz w:val="21"/>
                <w:szCs w:val="21"/>
                <w:lang w:val="en-US" w:eastAsia="zh-CN"/>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keepNext w:val="0"/>
              <w:keepLines w:val="0"/>
              <w:pageBreakBefore w:val="0"/>
              <w:tabs>
                <w:tab w:val="left" w:pos="540"/>
              </w:tabs>
              <w:kinsoku/>
              <w:wordWrap/>
              <w:overflowPunct/>
              <w:topLinePunct w:val="0"/>
              <w:autoSpaceDE/>
              <w:autoSpaceDN/>
              <w:bidi w:val="0"/>
              <w:adjustRightInd/>
              <w:snapToGrid/>
              <w:spacing w:line="400" w:lineRule="exact"/>
              <w:textAlignment w:val="auto"/>
              <w:rPr>
                <w:rFonts w:hint="eastAsia" w:ascii="宋体" w:hAnsi="宋体" w:eastAsia="宋体"/>
                <w:b/>
                <w:sz w:val="21"/>
                <w:szCs w:val="21"/>
                <w:lang w:eastAsia="zh-CN"/>
              </w:rPr>
            </w:pPr>
            <w:r>
              <w:rPr>
                <w:rFonts w:hint="eastAsia" w:ascii="Times New Roman" w:hAnsi="Times New Roman" w:cs="宋体"/>
                <w:sz w:val="21"/>
                <w:szCs w:val="21"/>
              </w:rPr>
              <w:t>管理体系文件由</w:t>
            </w:r>
            <w:r>
              <w:rPr>
                <w:rFonts w:hint="eastAsia" w:cs="宋体"/>
                <w:sz w:val="21"/>
                <w:szCs w:val="21"/>
                <w:lang w:val="en-US" w:eastAsia="zh-CN"/>
              </w:rPr>
              <w:t>办公室</w:t>
            </w:r>
            <w:r>
              <w:rPr>
                <w:rFonts w:hint="eastAsia" w:ascii="Times New Roman" w:hAnsi="Times New Roman" w:cs="宋体"/>
                <w:sz w:val="21"/>
                <w:szCs w:val="21"/>
              </w:rPr>
              <w:t>组织编写，总经理批准发布实施，</w:t>
            </w:r>
            <w:r>
              <w:rPr>
                <w:rFonts w:hint="eastAsia" w:ascii="Times New Roman" w:hAnsi="Times New Roman" w:cs="宋体"/>
                <w:sz w:val="21"/>
                <w:szCs w:val="21"/>
                <w:lang w:eastAsia="zh-CN"/>
              </w:rPr>
              <w:t>办公室</w:t>
            </w:r>
            <w:r>
              <w:rPr>
                <w:rFonts w:hint="eastAsia" w:ascii="Times New Roman" w:hAnsi="Times New Roman" w:cs="宋体"/>
                <w:sz w:val="21"/>
                <w:szCs w:val="21"/>
              </w:rPr>
              <w:t>打印传阅，公司文件柜存放，电子版本在电脑桌机的桌面上，每个人均可查阅。外来文件电子版本在电脑桌机的桌面上，每个人均可查阅，产品技术标准打印一套，放于文件柜内该公司人员均可查阅，外来人员查阅需经过总经理批准。记录管理：</w:t>
            </w:r>
            <w:r>
              <w:rPr>
                <w:rFonts w:hint="eastAsia" w:cs="宋体"/>
                <w:sz w:val="21"/>
                <w:szCs w:val="21"/>
                <w:lang w:val="en-US" w:eastAsia="zh-CN"/>
              </w:rPr>
              <w:t>办公室</w:t>
            </w:r>
            <w:r>
              <w:rPr>
                <w:rFonts w:hint="eastAsia" w:ascii="Times New Roman" w:hAnsi="Times New Roman" w:cs="宋体"/>
                <w:sz w:val="21"/>
                <w:szCs w:val="21"/>
              </w:rPr>
              <w:t>根据管理</w:t>
            </w:r>
            <w:r>
              <w:rPr>
                <w:rFonts w:hint="eastAsia" w:ascii="Times New Roman" w:hAnsi="Times New Roman" w:cs="宋体"/>
                <w:sz w:val="21"/>
                <w:szCs w:val="21"/>
                <w:lang w:eastAsia="zh-CN"/>
              </w:rPr>
              <w:t>体</w:t>
            </w:r>
            <w:r>
              <w:rPr>
                <w:rFonts w:hint="eastAsia" w:ascii="Times New Roman" w:hAnsi="Times New Roman" w:cs="宋体"/>
                <w:sz w:val="21"/>
                <w:szCs w:val="21"/>
              </w:rPr>
              <w:t>系要求设计了空白表格，按照需求发放，由使用人员填写记录并保存，</w:t>
            </w:r>
            <w:r>
              <w:rPr>
                <w:rFonts w:hint="eastAsia" w:cs="宋体"/>
                <w:sz w:val="21"/>
                <w:szCs w:val="21"/>
                <w:lang w:val="en-US" w:eastAsia="zh-CN"/>
              </w:rPr>
              <w:t>办公室</w:t>
            </w:r>
            <w:r>
              <w:rPr>
                <w:rFonts w:hint="eastAsia" w:ascii="Times New Roman" w:hAnsi="Times New Roman" w:cs="宋体"/>
                <w:sz w:val="21"/>
                <w:szCs w:val="21"/>
              </w:rPr>
              <w:t>不定期检查记录的同步性、真实性和填写完整、保存状况</w:t>
            </w:r>
            <w:r>
              <w:rPr>
                <w:rFonts w:hint="eastAsia"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681"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237"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ascii="宋体" w:hAnsi="宋体"/>
                <w:b/>
                <w:color w:val="000000" w:themeColor="text1"/>
                <w:sz w:val="20"/>
                <w:szCs w:val="20"/>
                <w:lang w:val="en-US" w:eastAsia="zh-CN"/>
              </w:rPr>
              <w:t>1.</w:t>
            </w: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b/>
                <w:color w:val="000000" w:themeColor="text1"/>
                <w:kern w:val="2"/>
                <w:sz w:val="20"/>
                <w:szCs w:val="20"/>
                <w:lang w:val="en-US" w:eastAsia="zh-CN" w:bidi="ar-SA"/>
              </w:rPr>
            </w:pPr>
            <w:r>
              <w:rPr>
                <w:rFonts w:hint="eastAsia"/>
                <w:sz w:val="21"/>
                <w:szCs w:val="21"/>
              </w:rPr>
              <w:t>公司共有员工</w:t>
            </w:r>
            <w:r>
              <w:rPr>
                <w:rFonts w:hint="eastAsia"/>
                <w:sz w:val="21"/>
                <w:szCs w:val="21"/>
                <w:lang w:val="en-US" w:eastAsia="zh-CN"/>
              </w:rPr>
              <w:t>15</w:t>
            </w:r>
            <w:r>
              <w:rPr>
                <w:rFonts w:hint="eastAsia"/>
                <w:sz w:val="21"/>
                <w:szCs w:val="21"/>
              </w:rPr>
              <w:t>人，其中管理人员</w:t>
            </w:r>
            <w:r>
              <w:rPr>
                <w:rFonts w:hint="eastAsia"/>
                <w:sz w:val="21"/>
                <w:szCs w:val="21"/>
                <w:lang w:val="en-US" w:eastAsia="zh-CN"/>
              </w:rPr>
              <w:t>4</w:t>
            </w:r>
            <w:r>
              <w:rPr>
                <w:rFonts w:hint="eastAsia"/>
                <w:sz w:val="21"/>
                <w:szCs w:val="21"/>
              </w:rPr>
              <w:t>人，满足</w:t>
            </w:r>
            <w:r>
              <w:rPr>
                <w:rFonts w:hint="eastAsia"/>
                <w:sz w:val="21"/>
                <w:szCs w:val="21"/>
                <w:lang w:val="en-US" w:eastAsia="zh-CN"/>
              </w:rPr>
              <w:t>生产、销售服务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681" w:type="dxa"/>
            <w:vMerge w:val="continue"/>
            <w:textDirection w:val="tbRlV"/>
            <w:vAlign w:val="center"/>
          </w:tcPr>
          <w:p>
            <w:pPr>
              <w:spacing w:line="240" w:lineRule="exact"/>
              <w:ind w:left="113" w:right="113"/>
              <w:jc w:val="center"/>
              <w:rPr>
                <w:b/>
                <w:szCs w:val="21"/>
              </w:rPr>
            </w:pPr>
          </w:p>
        </w:tc>
        <w:tc>
          <w:tcPr>
            <w:tcW w:w="9237"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2.</w:t>
            </w:r>
            <w:r>
              <w:rPr>
                <w:rFonts w:hint="eastAsia" w:ascii="宋体" w:hAnsi="宋体"/>
                <w:b/>
                <w:color w:val="000000" w:themeColor="text1"/>
                <w:sz w:val="20"/>
                <w:szCs w:val="20"/>
              </w:rPr>
              <w:t>设备设施（包括信息系统）</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b/>
                <w:color w:val="000000" w:themeColor="text1"/>
                <w:kern w:val="2"/>
                <w:sz w:val="20"/>
                <w:szCs w:val="20"/>
                <w:lang w:val="en-US" w:eastAsia="zh-CN" w:bidi="ar-SA"/>
              </w:rPr>
            </w:pPr>
            <w:r>
              <w:rPr>
                <w:rFonts w:hint="eastAsia"/>
                <w:sz w:val="21"/>
                <w:szCs w:val="21"/>
              </w:rPr>
              <w:t>配备有</w:t>
            </w:r>
            <w:r>
              <w:rPr>
                <w:rFonts w:hint="eastAsia"/>
                <w:sz w:val="21"/>
                <w:szCs w:val="21"/>
                <w:lang w:eastAsia="zh-CN"/>
              </w:rPr>
              <w:t>办公室、</w:t>
            </w:r>
            <w:r>
              <w:rPr>
                <w:rFonts w:hint="eastAsia"/>
                <w:sz w:val="21"/>
                <w:szCs w:val="21"/>
                <w:lang w:val="en-US" w:eastAsia="zh-CN"/>
              </w:rPr>
              <w:t>厂房</w:t>
            </w:r>
            <w:r>
              <w:rPr>
                <w:rFonts w:hint="eastAsia"/>
                <w:sz w:val="21"/>
                <w:szCs w:val="21"/>
              </w:rPr>
              <w:t>等基础设施，生产设备有</w:t>
            </w:r>
            <w:r>
              <w:rPr>
                <w:rFonts w:hint="eastAsia"/>
                <w:sz w:val="21"/>
                <w:szCs w:val="21"/>
                <w:lang w:eastAsia="zh-CN"/>
              </w:rPr>
              <w:t>挤出生产流水线、</w:t>
            </w:r>
            <w:r>
              <w:rPr>
                <w:rFonts w:hint="eastAsia"/>
                <w:sz w:val="21"/>
                <w:szCs w:val="21"/>
              </w:rPr>
              <w:t>数控管道配件设备</w:t>
            </w:r>
            <w:r>
              <w:rPr>
                <w:rFonts w:hint="eastAsia"/>
                <w:sz w:val="21"/>
                <w:szCs w:val="21"/>
                <w:lang w:eastAsia="zh-CN"/>
              </w:rPr>
              <w:t>、</w:t>
            </w:r>
            <w:r>
              <w:rPr>
                <w:rFonts w:hint="eastAsia"/>
                <w:sz w:val="21"/>
                <w:szCs w:val="21"/>
              </w:rPr>
              <w:t>管螺纹车床</w:t>
            </w:r>
            <w:r>
              <w:rPr>
                <w:rFonts w:hint="eastAsia"/>
                <w:sz w:val="21"/>
                <w:szCs w:val="21"/>
                <w:lang w:eastAsia="zh-CN"/>
              </w:rPr>
              <w:t>、</w:t>
            </w:r>
            <w:r>
              <w:rPr>
                <w:rFonts w:hint="eastAsia"/>
                <w:sz w:val="21"/>
                <w:szCs w:val="21"/>
              </w:rPr>
              <w:t>电焊机</w:t>
            </w:r>
            <w:r>
              <w:rPr>
                <w:rFonts w:hint="eastAsia"/>
                <w:sz w:val="21"/>
                <w:szCs w:val="21"/>
                <w:lang w:eastAsia="zh-CN"/>
              </w:rPr>
              <w:t>、</w:t>
            </w:r>
            <w:r>
              <w:rPr>
                <w:rFonts w:hint="eastAsia"/>
                <w:sz w:val="21"/>
                <w:szCs w:val="21"/>
              </w:rPr>
              <w:t>外抛砂机</w:t>
            </w:r>
            <w:r>
              <w:rPr>
                <w:rFonts w:hint="eastAsia"/>
                <w:sz w:val="21"/>
                <w:szCs w:val="21"/>
                <w:lang w:eastAsia="zh-CN"/>
              </w:rPr>
              <w:t>、</w:t>
            </w:r>
            <w:r>
              <w:rPr>
                <w:rFonts w:hint="eastAsia"/>
                <w:sz w:val="21"/>
                <w:szCs w:val="21"/>
              </w:rPr>
              <w:t>内抛砂机</w:t>
            </w:r>
            <w:r>
              <w:rPr>
                <w:rFonts w:hint="eastAsia"/>
                <w:sz w:val="21"/>
                <w:szCs w:val="21"/>
                <w:lang w:eastAsia="zh-CN"/>
              </w:rPr>
              <w:t>、</w:t>
            </w:r>
            <w:r>
              <w:rPr>
                <w:rFonts w:hint="eastAsia"/>
                <w:sz w:val="21"/>
                <w:szCs w:val="21"/>
              </w:rPr>
              <w:t>氩弧焊机</w:t>
            </w:r>
            <w:r>
              <w:rPr>
                <w:rFonts w:hint="eastAsia"/>
                <w:sz w:val="21"/>
                <w:szCs w:val="21"/>
                <w:lang w:eastAsia="zh-CN"/>
              </w:rPr>
              <w:t>、</w:t>
            </w:r>
            <w:r>
              <w:rPr>
                <w:rFonts w:hint="eastAsia"/>
                <w:sz w:val="21"/>
                <w:szCs w:val="21"/>
              </w:rPr>
              <w:t>锁管机，环保设施有</w:t>
            </w:r>
            <w:r>
              <w:rPr>
                <w:rFonts w:hint="eastAsia" w:ascii="Times New Roman" w:hAnsi="Times New Roman"/>
                <w:sz w:val="21"/>
                <w:szCs w:val="21"/>
                <w:lang w:eastAsia="zh-CN"/>
              </w:rPr>
              <w:t>布袋除尘器</w:t>
            </w:r>
            <w:r>
              <w:rPr>
                <w:rFonts w:hint="eastAsia"/>
                <w:sz w:val="21"/>
                <w:szCs w:val="21"/>
                <w:lang w:val="en-US" w:eastAsia="zh-CN"/>
              </w:rPr>
              <w:t>、</w:t>
            </w:r>
            <w:r>
              <w:rPr>
                <w:rFonts w:hint="eastAsia" w:ascii="Times New Roman" w:hAnsi="Times New Roman"/>
                <w:sz w:val="21"/>
                <w:szCs w:val="21"/>
                <w:lang w:eastAsia="zh-CN"/>
              </w:rPr>
              <w:t>冷却塔</w:t>
            </w:r>
            <w:r>
              <w:rPr>
                <w:rFonts w:hint="eastAsia"/>
                <w:sz w:val="21"/>
                <w:szCs w:val="21"/>
                <w:lang w:val="en-US" w:eastAsia="zh-CN"/>
              </w:rPr>
              <w:t>、</w:t>
            </w:r>
            <w:r>
              <w:rPr>
                <w:rFonts w:hint="eastAsia" w:ascii="Times New Roman" w:hAnsi="Times New Roman"/>
                <w:sz w:val="21"/>
                <w:szCs w:val="21"/>
              </w:rPr>
              <w:t>固体废弃物桶</w:t>
            </w:r>
            <w:r>
              <w:rPr>
                <w:rFonts w:hint="eastAsia"/>
                <w:sz w:val="21"/>
                <w:szCs w:val="21"/>
              </w:rPr>
              <w:t>、消防器材</w:t>
            </w:r>
            <w:r>
              <w:rPr>
                <w:rFonts w:hint="eastAsia"/>
                <w:sz w:val="21"/>
                <w:szCs w:val="21"/>
                <w:lang w:eastAsia="zh-CN"/>
              </w:rPr>
              <w:t>，</w:t>
            </w:r>
            <w:r>
              <w:rPr>
                <w:rFonts w:hint="eastAsia"/>
                <w:sz w:val="21"/>
                <w:szCs w:val="21"/>
              </w:rPr>
              <w:t>安保设施有监视探头、录像主机、监视屏等，配备办公桌、电话、沙发、计算机等办公设备，满足</w:t>
            </w:r>
            <w:r>
              <w:rPr>
                <w:rFonts w:hint="eastAsia"/>
                <w:sz w:val="21"/>
                <w:szCs w:val="21"/>
                <w:lang w:val="en-US" w:eastAsia="zh-CN"/>
              </w:rPr>
              <w:t>生产、销售</w:t>
            </w:r>
            <w:r>
              <w:rPr>
                <w:rFonts w:hint="eastAsia"/>
                <w:sz w:val="21"/>
                <w:szCs w:val="21"/>
                <w:lang w:eastAsia="zh-CN"/>
              </w:rPr>
              <w:t>服务</w:t>
            </w:r>
            <w:r>
              <w:rPr>
                <w:rFonts w:hint="eastAsia"/>
                <w:sz w:val="21"/>
                <w:szCs w:val="21"/>
              </w:rPr>
              <w:t>需求</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681" w:type="dxa"/>
            <w:vMerge w:val="continue"/>
            <w:textDirection w:val="tbRlV"/>
            <w:vAlign w:val="center"/>
          </w:tcPr>
          <w:p>
            <w:pPr>
              <w:spacing w:line="240" w:lineRule="exact"/>
              <w:ind w:left="113" w:right="113"/>
              <w:jc w:val="center"/>
              <w:rPr>
                <w:b/>
                <w:szCs w:val="21"/>
              </w:rPr>
            </w:pPr>
          </w:p>
        </w:tc>
        <w:tc>
          <w:tcPr>
            <w:tcW w:w="9237"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3.</w:t>
            </w:r>
            <w:r>
              <w:rPr>
                <w:rFonts w:hint="eastAsia" w:ascii="宋体" w:hAnsi="宋体"/>
                <w:b/>
                <w:color w:val="000000" w:themeColor="text1"/>
                <w:sz w:val="20"/>
                <w:szCs w:val="20"/>
              </w:rPr>
              <w:t>过程运行环境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b/>
                <w:color w:val="000000" w:themeColor="text1"/>
                <w:kern w:val="2"/>
                <w:sz w:val="20"/>
                <w:szCs w:val="20"/>
                <w:lang w:val="en-US" w:eastAsia="zh-CN" w:bidi="ar-SA"/>
              </w:rPr>
            </w:pPr>
            <w:r>
              <w:rPr>
                <w:rFonts w:hint="eastAsia" w:cs="宋体"/>
                <w:sz w:val="21"/>
                <w:szCs w:val="21"/>
                <w:lang w:val="en-US" w:eastAsia="zh-CN"/>
              </w:rPr>
              <w:t>公司</w:t>
            </w:r>
            <w:r>
              <w:rPr>
                <w:rFonts w:hint="eastAsia" w:cs="宋体"/>
                <w:sz w:val="21"/>
                <w:szCs w:val="21"/>
              </w:rPr>
              <w:t>位于</w:t>
            </w:r>
            <w:bookmarkStart w:id="12" w:name="生产地址"/>
            <w:r>
              <w:rPr>
                <w:rFonts w:asciiTheme="minorEastAsia" w:hAnsiTheme="minorEastAsia" w:eastAsiaTheme="minorEastAsia"/>
                <w:sz w:val="20"/>
              </w:rPr>
              <w:t>衡水市胜利东路286号</w:t>
            </w:r>
            <w:bookmarkEnd w:id="12"/>
            <w:r>
              <w:rPr>
                <w:rFonts w:hint="eastAsia" w:cs="宋体"/>
                <w:sz w:val="21"/>
                <w:szCs w:val="21"/>
              </w:rPr>
              <w:t>，</w:t>
            </w:r>
            <w:r>
              <w:rPr>
                <w:rFonts w:hint="eastAsia"/>
                <w:sz w:val="21"/>
                <w:szCs w:val="21"/>
              </w:rPr>
              <w:t>占地面积</w:t>
            </w:r>
            <w:r>
              <w:rPr>
                <w:rFonts w:hint="eastAsia"/>
                <w:sz w:val="21"/>
                <w:szCs w:val="21"/>
                <w:lang w:val="en-US" w:eastAsia="zh-CN"/>
              </w:rPr>
              <w:t>10</w:t>
            </w:r>
            <w:r>
              <w:rPr>
                <w:rFonts w:hint="eastAsia"/>
                <w:sz w:val="21"/>
                <w:szCs w:val="21"/>
              </w:rPr>
              <w:t>00平米，其中生产车间约</w:t>
            </w:r>
            <w:r>
              <w:rPr>
                <w:rFonts w:hint="eastAsia"/>
                <w:sz w:val="21"/>
                <w:szCs w:val="21"/>
                <w:lang w:val="en-US" w:eastAsia="zh-CN"/>
              </w:rPr>
              <w:t>500</w:t>
            </w:r>
            <w:r>
              <w:rPr>
                <w:rFonts w:hint="eastAsia"/>
                <w:sz w:val="21"/>
                <w:szCs w:val="21"/>
              </w:rPr>
              <w:t>平米，办公面积约</w:t>
            </w:r>
            <w:r>
              <w:rPr>
                <w:rFonts w:hint="eastAsia"/>
                <w:sz w:val="21"/>
                <w:szCs w:val="21"/>
                <w:lang w:val="en-US" w:eastAsia="zh-CN"/>
              </w:rPr>
              <w:t>10</w:t>
            </w:r>
            <w:r>
              <w:rPr>
                <w:rFonts w:hint="eastAsia"/>
                <w:sz w:val="21"/>
                <w:szCs w:val="21"/>
              </w:rPr>
              <w:t>0平米</w:t>
            </w:r>
            <w:r>
              <w:rPr>
                <w:rFonts w:hint="eastAsia"/>
                <w:sz w:val="21"/>
                <w:szCs w:val="21"/>
                <w:lang w:val="en-US" w:eastAsia="zh-CN"/>
              </w:rPr>
              <w:t>，</w:t>
            </w:r>
            <w:r>
              <w:rPr>
                <w:rFonts w:hint="eastAsia"/>
                <w:sz w:val="21"/>
                <w:szCs w:val="21"/>
                <w:lang w:eastAsia="zh-CN"/>
              </w:rPr>
              <w:t>布局合理，场所卫生干净整洁，工作环境</w:t>
            </w:r>
            <w:r>
              <w:rPr>
                <w:rFonts w:hint="eastAsia"/>
                <w:sz w:val="21"/>
                <w:szCs w:val="21"/>
                <w:lang w:val="en-US" w:eastAsia="zh-CN"/>
              </w:rPr>
              <w:t>一般</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681" w:type="dxa"/>
            <w:vMerge w:val="continue"/>
            <w:textDirection w:val="tbRlV"/>
            <w:vAlign w:val="center"/>
          </w:tcPr>
          <w:p>
            <w:pPr>
              <w:spacing w:line="240" w:lineRule="exact"/>
              <w:ind w:left="113" w:right="113"/>
              <w:jc w:val="center"/>
              <w:rPr>
                <w:b/>
                <w:szCs w:val="21"/>
              </w:rPr>
            </w:pPr>
          </w:p>
        </w:tc>
        <w:tc>
          <w:tcPr>
            <w:tcW w:w="9237"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b/>
                <w:color w:val="000000" w:themeColor="text1"/>
                <w:sz w:val="20"/>
                <w:szCs w:val="20"/>
              </w:rPr>
            </w:pPr>
            <w:r>
              <w:rPr>
                <w:rFonts w:hint="eastAsia" w:ascii="宋体" w:hAnsi="宋体"/>
                <w:b/>
                <w:color w:val="000000" w:themeColor="text1"/>
                <w:sz w:val="20"/>
                <w:szCs w:val="20"/>
                <w:lang w:val="en-US" w:eastAsia="zh-CN"/>
              </w:rPr>
              <w:t>4.</w:t>
            </w:r>
            <w:r>
              <w:rPr>
                <w:rFonts w:hint="eastAsia" w:ascii="宋体" w:hAnsi="宋体"/>
                <w:b/>
                <w:color w:val="000000" w:themeColor="text1"/>
                <w:sz w:val="20"/>
                <w:szCs w:val="20"/>
              </w:rPr>
              <w:t>监视和测量资源</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sz w:val="21"/>
                <w:szCs w:val="21"/>
                <w:u w:val="none"/>
                <w:lang w:val="en-US" w:eastAsia="zh-CN"/>
              </w:rPr>
            </w:pPr>
            <w:r>
              <w:rPr>
                <w:rFonts w:hint="eastAsia" w:ascii="Times New Roman" w:hAnsi="Times New Roman"/>
                <w:sz w:val="21"/>
                <w:szCs w:val="21"/>
                <w:u w:val="none"/>
                <w:lang w:eastAsia="zh-CN"/>
              </w:rPr>
              <w:t>检测设备主要</w:t>
            </w:r>
            <w:r>
              <w:rPr>
                <w:rFonts w:hint="eastAsia"/>
                <w:sz w:val="21"/>
                <w:szCs w:val="21"/>
                <w:u w:val="none"/>
                <w:lang w:val="en-US" w:eastAsia="zh-CN"/>
              </w:rPr>
              <w:t>有</w:t>
            </w:r>
            <w:r>
              <w:rPr>
                <w:rFonts w:hint="eastAsia" w:ascii="Times New Roman" w:hAnsi="Times New Roman"/>
                <w:sz w:val="21"/>
                <w:szCs w:val="21"/>
                <w:u w:val="none"/>
                <w:lang w:eastAsia="zh-CN"/>
              </w:rPr>
              <w:t>电子称、游标卡尺、深度尺、测厚仪、百格刀、钢直尺</w:t>
            </w:r>
            <w:r>
              <w:rPr>
                <w:rFonts w:hint="eastAsia" w:ascii="Times New Roman" w:hAnsi="Times New Roman"/>
                <w:sz w:val="21"/>
                <w:szCs w:val="21"/>
                <w:u w:val="none"/>
                <w:lang w:eastAsia="zh-CN"/>
              </w:rPr>
              <w:t>等检测设备仪器；</w:t>
            </w:r>
            <w:r>
              <w:rPr>
                <w:rFonts w:hint="eastAsia"/>
                <w:sz w:val="21"/>
                <w:szCs w:val="21"/>
                <w:u w:val="none"/>
                <w:lang w:val="en-US" w:eastAsia="zh-CN"/>
              </w:rPr>
              <w:t>提供有校准证书</w:t>
            </w:r>
            <w:r>
              <w:rPr>
                <w:rFonts w:hint="eastAsia" w:ascii="宋体" w:hAnsi="宋体"/>
                <w:sz w:val="21"/>
                <w:szCs w:val="21"/>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b/>
                <w:color w:val="000000" w:themeColor="text1"/>
                <w:kern w:val="2"/>
                <w:sz w:val="20"/>
                <w:szCs w:val="20"/>
                <w:lang w:val="en-US" w:eastAsia="zh-CN" w:bidi="ar-SA"/>
              </w:rPr>
            </w:pPr>
            <w:r>
              <w:rPr>
                <w:rFonts w:hint="eastAsia"/>
                <w:sz w:val="21"/>
                <w:szCs w:val="21"/>
                <w:u w:val="none"/>
                <w:lang w:val="en-US" w:eastAsia="zh-CN"/>
              </w:rPr>
              <w:t>公司暂无环境、职业健康安全监测设备</w:t>
            </w:r>
            <w:r>
              <w:rPr>
                <w:rFonts w:hint="eastAsia" w:ascii="宋体" w:hAnsi="宋体"/>
                <w:szCs w:val="21"/>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681" w:type="dxa"/>
            <w:vMerge w:val="continue"/>
            <w:textDirection w:val="tbRlV"/>
            <w:vAlign w:val="center"/>
          </w:tcPr>
          <w:p>
            <w:pPr>
              <w:spacing w:line="240" w:lineRule="exact"/>
              <w:ind w:left="113" w:right="113"/>
              <w:jc w:val="center"/>
              <w:rPr>
                <w:b/>
                <w:szCs w:val="21"/>
              </w:rPr>
            </w:pP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5.</w:t>
            </w:r>
            <w:r>
              <w:rPr>
                <w:rFonts w:hint="eastAsia" w:ascii="宋体" w:hAnsi="宋体"/>
                <w:b/>
                <w:color w:val="000000" w:themeColor="text1"/>
                <w:sz w:val="20"/>
                <w:szCs w:val="20"/>
              </w:rPr>
              <w:t>知识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b/>
                <w:color w:val="000000" w:themeColor="text1"/>
                <w:kern w:val="2"/>
                <w:sz w:val="20"/>
                <w:szCs w:val="20"/>
                <w:lang w:val="en-US" w:eastAsia="zh-CN" w:bidi="ar-SA"/>
              </w:rPr>
            </w:pPr>
            <w:r>
              <w:rPr>
                <w:rFonts w:hint="eastAsia"/>
                <w:sz w:val="21"/>
                <w:szCs w:val="21"/>
              </w:rPr>
              <w:t>公司对法律法规及其他要求进行了获取，包括质量法、合同法、环境保护法、劳动法、消防法、环境空气质量标准、固体废弃物环境防治法、仓库防火安全管理规则、劳动保护用品管理规定、</w:t>
            </w:r>
            <w:r>
              <w:rPr>
                <w:rFonts w:hint="eastAsia"/>
                <w:sz w:val="21"/>
                <w:szCs w:val="21"/>
                <w:lang w:eastAsia="zh-CN"/>
              </w:rPr>
              <w:t>GB/T10544-2003《钢丝缠绕增强外覆橡胶的液压橡胶软管和软管组合件》、GB/T 19089-2003《矿用输送空气和水的织物增强橡胶软管及软管组合件》、GB/T 28897-2012《钢塑复合管》、GB/T10546-89《钢丝编织液化石油气软管》、JB/T1616 《管式空气预热器技术条件》</w:t>
            </w:r>
            <w:r>
              <w:rPr>
                <w:rFonts w:hint="eastAsia"/>
                <w:sz w:val="21"/>
                <w:szCs w:val="21"/>
                <w:lang w:val="en-US" w:eastAsia="zh-CN"/>
              </w:rPr>
              <w:t>GB12348-2008《工业企业厂界环境噪声排放标准》、</w:t>
            </w:r>
            <w:r>
              <w:rPr>
                <w:rFonts w:hint="eastAsia"/>
                <w:sz w:val="21"/>
                <w:szCs w:val="21"/>
              </w:rPr>
              <w:t>GB3095</w:t>
            </w:r>
            <w:r>
              <w:rPr>
                <w:rFonts w:hint="eastAsia"/>
                <w:sz w:val="21"/>
                <w:szCs w:val="21"/>
                <w:lang w:val="en-US" w:eastAsia="zh-CN"/>
              </w:rPr>
              <w:t>-2012《环境空气质量标准》、</w:t>
            </w:r>
            <w:r>
              <w:rPr>
                <w:rFonts w:hint="default"/>
                <w:sz w:val="21"/>
                <w:szCs w:val="21"/>
                <w:lang w:val="en-US" w:eastAsia="zh-CN"/>
              </w:rPr>
              <w:t>GBZ2-200</w:t>
            </w:r>
            <w:r>
              <w:rPr>
                <w:rFonts w:hint="eastAsia"/>
                <w:sz w:val="21"/>
                <w:szCs w:val="21"/>
                <w:lang w:val="en-US" w:eastAsia="zh-CN"/>
              </w:rPr>
              <w:t>7《</w:t>
            </w:r>
            <w:r>
              <w:rPr>
                <w:rFonts w:hint="default"/>
                <w:sz w:val="21"/>
                <w:szCs w:val="21"/>
                <w:lang w:val="en-US" w:eastAsia="zh-CN"/>
              </w:rPr>
              <w:t>工作场所有害因素职业接触限值</w:t>
            </w:r>
            <w:r>
              <w:rPr>
                <w:rFonts w:hint="eastAsia"/>
                <w:sz w:val="21"/>
                <w:szCs w:val="21"/>
                <w:lang w:val="en-US" w:eastAsia="zh-CN"/>
              </w:rPr>
              <w:t>》、GB/T19001-2016《质量管理体系 要求》、GB/T24001-2016《环境管理体系 要求及使用指南》、GB/T28001-2011《职业健康安全管理体系 要求》</w:t>
            </w:r>
            <w:r>
              <w:rPr>
                <w:rFonts w:hint="eastAsia"/>
                <w:sz w:val="21"/>
                <w:szCs w:val="21"/>
              </w:rPr>
              <w:t>等法规要求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681" w:type="dxa"/>
            <w:vMerge w:val="continue"/>
            <w:textDirection w:val="tbRlV"/>
            <w:vAlign w:val="center"/>
          </w:tcPr>
          <w:p>
            <w:pPr>
              <w:spacing w:line="240" w:lineRule="exact"/>
              <w:ind w:left="113" w:right="113"/>
              <w:jc w:val="center"/>
              <w:rPr>
                <w:b/>
                <w:szCs w:val="21"/>
              </w:rPr>
            </w:pP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6.</w:t>
            </w: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灭火器、布袋除尘器、冷却塔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681" w:type="dxa"/>
            <w:vMerge w:val="continue"/>
            <w:textDirection w:val="tbRlV"/>
            <w:vAlign w:val="center"/>
          </w:tcPr>
          <w:p>
            <w:pPr>
              <w:spacing w:line="240" w:lineRule="exact"/>
              <w:ind w:left="113" w:right="113"/>
              <w:jc w:val="center"/>
              <w:rPr>
                <w:b/>
                <w:szCs w:val="21"/>
              </w:rPr>
            </w:pP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7.</w:t>
            </w: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灭火器、警示牌、栏杆、面罩、安全帽等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681"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textAlignment w:val="auto"/>
              <w:rPr>
                <w:b/>
                <w:color w:val="000000" w:themeColor="text1"/>
                <w:sz w:val="20"/>
                <w:szCs w:val="20"/>
              </w:rPr>
            </w:pPr>
            <w:r>
              <w:rPr>
                <w:rFonts w:hint="eastAsia"/>
                <w:b/>
                <w:color w:val="000000" w:themeColor="text1"/>
                <w:sz w:val="20"/>
                <w:szCs w:val="20"/>
              </w:rPr>
              <w:t>1. 针对方针的管理职责评审</w:t>
            </w:r>
          </w:p>
          <w:p>
            <w:pPr>
              <w:keepNext w:val="0"/>
              <w:keepLines w:val="0"/>
              <w:pageBreakBefore w:val="0"/>
              <w:kinsoku/>
              <w:wordWrap/>
              <w:overflowPunct/>
              <w:topLinePunct w:val="0"/>
              <w:autoSpaceDE/>
              <w:autoSpaceDN/>
              <w:bidi w:val="0"/>
              <w:adjustRightInd/>
              <w:snapToGrid/>
              <w:spacing w:line="400" w:lineRule="exact"/>
              <w:ind w:left="1"/>
              <w:textAlignment w:val="auto"/>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keepNext w:val="0"/>
              <w:keepLines w:val="0"/>
              <w:pageBreakBefore w:val="0"/>
              <w:kinsoku/>
              <w:wordWrap/>
              <w:overflowPunct/>
              <w:topLinePunct w:val="0"/>
              <w:autoSpaceDE/>
              <w:autoSpaceDN/>
              <w:bidi w:val="0"/>
              <w:adjustRightInd/>
              <w:snapToGrid/>
              <w:spacing w:line="400" w:lineRule="exact"/>
              <w:textAlignment w:val="auto"/>
              <w:rPr>
                <w:rFonts w:hint="eastAsia" w:eastAsia="宋体"/>
                <w:sz w:val="21"/>
                <w:szCs w:val="21"/>
                <w:lang w:eastAsia="zh-CN"/>
              </w:rPr>
            </w:pPr>
            <w:r>
              <w:rPr>
                <w:rFonts w:hint="eastAsia" w:cs="宋体"/>
                <w:sz w:val="21"/>
                <w:szCs w:val="21"/>
                <w:lang w:val="en-US" w:eastAsia="zh-CN"/>
              </w:rPr>
              <w:t>1.</w:t>
            </w:r>
            <w:r>
              <w:rPr>
                <w:rFonts w:hint="eastAsia" w:cs="宋体"/>
                <w:sz w:val="21"/>
                <w:szCs w:val="21"/>
              </w:rPr>
              <w:t>管理方针：</w:t>
            </w:r>
            <w:r>
              <w:rPr>
                <w:rFonts w:hint="eastAsia"/>
                <w:b w:val="0"/>
                <w:bCs w:val="0"/>
                <w:sz w:val="21"/>
                <w:szCs w:val="21"/>
              </w:rPr>
              <w:t>科学管理，遵守法规，预防污染，持续改进，为社会及员工提供一个健康、安全的工作生活环境，提供用户满意的优质产品，创国内一流品牌</w:t>
            </w:r>
          </w:p>
          <w:p>
            <w:pPr>
              <w:keepNext w:val="0"/>
              <w:keepLines w:val="0"/>
              <w:pageBreakBefore w:val="0"/>
              <w:kinsoku/>
              <w:wordWrap/>
              <w:overflowPunct/>
              <w:topLinePunct w:val="0"/>
              <w:autoSpaceDE/>
              <w:autoSpaceDN/>
              <w:bidi w:val="0"/>
              <w:adjustRightInd/>
              <w:snapToGrid/>
              <w:spacing w:line="400" w:lineRule="exact"/>
              <w:textAlignment w:val="auto"/>
              <w:rPr>
                <w:sz w:val="21"/>
                <w:szCs w:val="21"/>
              </w:rPr>
            </w:pPr>
            <w:r>
              <w:rPr>
                <w:sz w:val="21"/>
                <w:szCs w:val="21"/>
              </w:rPr>
              <w:t xml:space="preserve">2. </w:t>
            </w:r>
            <w:r>
              <w:rPr>
                <w:rFonts w:hint="eastAsia" w:cs="宋体"/>
                <w:sz w:val="21"/>
                <w:szCs w:val="21"/>
              </w:rPr>
              <w:t>管理方针与企业的经营宗旨相适应，协调；</w:t>
            </w:r>
          </w:p>
          <w:p>
            <w:pPr>
              <w:keepNext w:val="0"/>
              <w:keepLines w:val="0"/>
              <w:pageBreakBefore w:val="0"/>
              <w:kinsoku/>
              <w:wordWrap/>
              <w:overflowPunct/>
              <w:topLinePunct w:val="0"/>
              <w:autoSpaceDE/>
              <w:autoSpaceDN/>
              <w:bidi w:val="0"/>
              <w:adjustRightInd/>
              <w:snapToGrid/>
              <w:spacing w:line="400" w:lineRule="exact"/>
              <w:ind w:left="1" w:leftChars="0"/>
              <w:textAlignment w:val="auto"/>
              <w:rPr>
                <w:rFonts w:ascii="Times New Roman" w:hAnsi="Times New Roman" w:eastAsia="宋体" w:cs="Times New Roman"/>
                <w:b/>
                <w:color w:val="000000" w:themeColor="text1"/>
                <w:kern w:val="2"/>
                <w:sz w:val="20"/>
                <w:szCs w:val="20"/>
                <w:lang w:val="en-US" w:eastAsia="zh-CN" w:bidi="ar-SA"/>
              </w:rPr>
            </w:pPr>
            <w:r>
              <w:rPr>
                <w:sz w:val="21"/>
                <w:szCs w:val="21"/>
              </w:rPr>
              <w:t xml:space="preserve">3. </w:t>
            </w:r>
            <w:r>
              <w:rPr>
                <w:rFonts w:hint="eastAsia" w:cs="宋体"/>
                <w:sz w:val="21"/>
                <w:szCs w:val="21"/>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681" w:type="dxa"/>
            <w:vMerge w:val="continue"/>
            <w:vAlign w:val="center"/>
          </w:tcPr>
          <w:p>
            <w:pPr>
              <w:spacing w:line="240" w:lineRule="exact"/>
              <w:jc w:val="center"/>
              <w:rPr>
                <w:b/>
                <w:szCs w:val="21"/>
              </w:rPr>
            </w:pP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ind w:left="159" w:hanging="159" w:hangingChars="79"/>
              <w:textAlignment w:val="auto"/>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keepNext w:val="0"/>
              <w:keepLines w:val="0"/>
              <w:pageBreakBefore w:val="0"/>
              <w:kinsoku/>
              <w:wordWrap/>
              <w:overflowPunct/>
              <w:topLinePunct w:val="0"/>
              <w:autoSpaceDE/>
              <w:autoSpaceDN/>
              <w:bidi w:val="0"/>
              <w:adjustRightInd/>
              <w:snapToGrid/>
              <w:spacing w:line="40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 w:val="21"/>
                <w:szCs w:val="21"/>
              </w:rPr>
              <w:t>文件、会议、电话、面谈等方式进行内部沟通</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sz w:val="21"/>
                <w:szCs w:val="21"/>
              </w:rPr>
            </w:pPr>
            <w:r>
              <w:rPr>
                <w:rFonts w:hint="eastAsia" w:ascii="楷体_GB2312" w:eastAsia="楷体_GB2312"/>
                <w:b/>
                <w:color w:val="000000" w:themeColor="text1"/>
                <w:sz w:val="20"/>
                <w:szCs w:val="20"/>
              </w:rPr>
              <w:t xml:space="preserve">                内部沟通的效果：</w:t>
            </w:r>
            <w:r>
              <w:rPr>
                <w:rFonts w:hint="eastAsia" w:ascii="宋体" w:hAnsi="宋体"/>
                <w:sz w:val="21"/>
                <w:szCs w:val="21"/>
              </w:rPr>
              <w:t>沟通较为顺畅</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sz w:val="21"/>
                <w:szCs w:val="21"/>
              </w:rPr>
            </w:pPr>
            <w:r>
              <w:rPr>
                <w:rFonts w:hint="eastAsia" w:ascii="楷体_GB2312" w:eastAsia="楷体_GB2312"/>
                <w:b/>
                <w:color w:val="000000" w:themeColor="text1"/>
                <w:sz w:val="20"/>
                <w:szCs w:val="20"/>
              </w:rPr>
              <w:t>组织对外联络，关注顾客的感受情况（QMS）：</w:t>
            </w:r>
            <w:r>
              <w:rPr>
                <w:rFonts w:hint="eastAsia" w:ascii="宋体" w:hAnsi="宋体" w:cs="Times New Roman"/>
                <w:sz w:val="21"/>
                <w:szCs w:val="21"/>
                <w:lang w:val="en-US" w:eastAsia="zh-CN"/>
              </w:rPr>
              <w:t>对顾客回访，进行满意度调查。</w:t>
            </w:r>
          </w:p>
          <w:p>
            <w:pPr>
              <w:keepNext w:val="0"/>
              <w:keepLines w:val="0"/>
              <w:pageBreakBefore w:val="0"/>
              <w:kinsoku/>
              <w:wordWrap/>
              <w:overflowPunct/>
              <w:topLinePunct w:val="0"/>
              <w:autoSpaceDE/>
              <w:autoSpaceDN/>
              <w:bidi w:val="0"/>
              <w:adjustRightInd/>
              <w:snapToGrid/>
              <w:spacing w:line="400" w:lineRule="exact"/>
              <w:textAlignment w:val="auto"/>
              <w:rPr>
                <w:rFonts w:ascii="楷体_GB2312" w:eastAsia="楷体_GB2312"/>
                <w:b/>
                <w:color w:val="000000" w:themeColor="text1"/>
                <w:sz w:val="21"/>
                <w:szCs w:val="21"/>
              </w:rPr>
            </w:pPr>
            <w:r>
              <w:rPr>
                <w:rFonts w:hint="eastAsia" w:ascii="楷体_GB2312" w:eastAsia="楷体_GB2312"/>
                <w:b/>
                <w:color w:val="000000" w:themeColor="text1"/>
                <w:sz w:val="20"/>
                <w:szCs w:val="20"/>
              </w:rPr>
              <w:t>外部信息的接收、成文并答复的情况（E、S填写）：</w:t>
            </w:r>
            <w:r>
              <w:rPr>
                <w:rFonts w:hint="eastAsia" w:ascii="宋体" w:hAnsi="宋体"/>
                <w:sz w:val="21"/>
                <w:szCs w:val="21"/>
                <w:lang w:val="en-US" w:eastAsia="zh-CN"/>
              </w:rPr>
              <w:t>与</w:t>
            </w:r>
            <w:r>
              <w:rPr>
                <w:rFonts w:hint="eastAsia" w:ascii="宋体" w:hAnsi="宋体"/>
                <w:sz w:val="21"/>
                <w:szCs w:val="21"/>
              </w:rPr>
              <w:t>上级主管部门的沟通，目前沟通都较为顺畅</w:t>
            </w:r>
            <w:r>
              <w:rPr>
                <w:rFonts w:hint="eastAsia" w:ascii="宋体" w:hAnsi="宋体"/>
                <w:sz w:val="21"/>
                <w:szCs w:val="21"/>
                <w:lang w:eastAsia="zh-CN"/>
              </w:rPr>
              <w:t>。</w:t>
            </w:r>
          </w:p>
          <w:p>
            <w:pPr>
              <w:keepNext w:val="0"/>
              <w:keepLines w:val="0"/>
              <w:pageBreakBefore w:val="0"/>
              <w:kinsoku/>
              <w:wordWrap/>
              <w:overflowPunct/>
              <w:topLinePunct w:val="0"/>
              <w:autoSpaceDE/>
              <w:autoSpaceDN/>
              <w:bidi w:val="0"/>
              <w:adjustRightInd/>
              <w:snapToGrid/>
              <w:spacing w:line="400" w:lineRule="exact"/>
              <w:textAlignment w:val="auto"/>
              <w:rPr>
                <w:rFonts w:ascii="楷体_GB2312" w:eastAsia="楷体_GB2312"/>
                <w:b/>
                <w:color w:val="000000" w:themeColor="text1"/>
                <w:sz w:val="21"/>
                <w:szCs w:val="21"/>
              </w:rPr>
            </w:pPr>
            <w:r>
              <w:rPr>
                <w:rFonts w:hint="eastAsia" w:ascii="楷体_GB2312" w:eastAsia="楷体_GB2312"/>
                <w:b/>
                <w:color w:val="000000" w:themeColor="text1"/>
                <w:sz w:val="20"/>
                <w:szCs w:val="20"/>
              </w:rPr>
              <w:t>重要环境因素信息对外交流情况（EMS填写）：</w:t>
            </w:r>
            <w:r>
              <w:rPr>
                <w:rFonts w:hint="eastAsia" w:ascii="宋体" w:hAnsi="宋体"/>
                <w:sz w:val="21"/>
                <w:szCs w:val="21"/>
              </w:rPr>
              <w:t>外部沟通：文件、电话、面谈、传真等，主要与顾客、供方、上级主管部门的沟通，目前各项沟通都较为顺畅</w:t>
            </w:r>
            <w:r>
              <w:rPr>
                <w:rFonts w:hint="eastAsia" w:ascii="宋体" w:hAnsi="宋体"/>
                <w:sz w:val="21"/>
                <w:szCs w:val="21"/>
                <w:lang w:eastAsia="zh-CN"/>
              </w:rPr>
              <w:t>。</w:t>
            </w:r>
          </w:p>
          <w:p>
            <w:pPr>
              <w:keepNext w:val="0"/>
              <w:keepLines w:val="0"/>
              <w:pageBreakBefore w:val="0"/>
              <w:kinsoku/>
              <w:wordWrap/>
              <w:overflowPunct/>
              <w:topLinePunct w:val="0"/>
              <w:autoSpaceDE/>
              <w:autoSpaceDN/>
              <w:bidi w:val="0"/>
              <w:adjustRightInd/>
              <w:snapToGrid/>
              <w:spacing w:line="400" w:lineRule="exact"/>
              <w:textAlignment w:val="auto"/>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r>
              <w:rPr>
                <w:rFonts w:hint="eastAsia"/>
                <w:sz w:val="21"/>
                <w:szCs w:val="21"/>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1"/>
                <w:szCs w:val="21"/>
                <w:lang w:eastAsia="zh-CN"/>
              </w:rPr>
              <w:t>。</w:t>
            </w:r>
          </w:p>
          <w:p>
            <w:pPr>
              <w:keepNext w:val="0"/>
              <w:keepLines w:val="0"/>
              <w:pageBreakBefore w:val="0"/>
              <w:kinsoku/>
              <w:wordWrap/>
              <w:overflowPunct/>
              <w:topLinePunct w:val="0"/>
              <w:autoSpaceDE/>
              <w:autoSpaceDN/>
              <w:bidi w:val="0"/>
              <w:adjustRightInd/>
              <w:snapToGrid/>
              <w:spacing w:line="400" w:lineRule="exact"/>
              <w:textAlignment w:val="auto"/>
              <w:rPr>
                <w:rFonts w:ascii="楷体_GB2312" w:hAnsi="Times New Roman" w:eastAsia="楷体_GB2312" w:cs="Times New Roman"/>
                <w:b/>
                <w:color w:val="000000" w:themeColor="text1"/>
                <w:kern w:val="2"/>
                <w:sz w:val="24"/>
                <w:szCs w:val="21"/>
                <w:lang w:val="en-US" w:eastAsia="zh-CN" w:bidi="ar-SA"/>
              </w:rPr>
            </w:pPr>
            <w:r>
              <w:rPr>
                <w:rFonts w:hint="eastAsia" w:ascii="楷体_GB2312" w:eastAsia="楷体_GB2312"/>
                <w:b/>
                <w:color w:val="000000" w:themeColor="text1"/>
                <w:sz w:val="20"/>
                <w:szCs w:val="20"/>
              </w:rPr>
              <w:t>与相关方协商的情况（OHSMS填写）</w:t>
            </w:r>
            <w:r>
              <w:rPr>
                <w:rFonts w:hint="eastAsia" w:ascii="楷体_GB2312" w:eastAsia="楷体_GB2312"/>
                <w:b/>
                <w:color w:val="000000" w:themeColor="text1"/>
                <w:szCs w:val="21"/>
              </w:rPr>
              <w:t>：</w:t>
            </w:r>
            <w:r>
              <w:rPr>
                <w:rFonts w:hint="eastAsia" w:ascii="Times New Roman" w:hAnsi="Times New Roman" w:cs="Times New Roman"/>
                <w:sz w:val="21"/>
                <w:szCs w:val="21"/>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681" w:type="dxa"/>
            <w:vMerge w:val="continue"/>
            <w:vAlign w:val="center"/>
          </w:tcPr>
          <w:p>
            <w:pPr>
              <w:spacing w:line="240" w:lineRule="exact"/>
              <w:jc w:val="center"/>
              <w:rPr>
                <w:b/>
                <w:szCs w:val="21"/>
              </w:rPr>
            </w:pPr>
          </w:p>
        </w:tc>
        <w:tc>
          <w:tcPr>
            <w:tcW w:w="9237"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b/>
                <w:sz w:val="21"/>
                <w:szCs w:val="21"/>
              </w:rPr>
            </w:pPr>
            <w:r>
              <w:rPr>
                <w:b/>
                <w:sz w:val="21"/>
                <w:szCs w:val="21"/>
              </w:rPr>
              <w:t xml:space="preserve">3.  QMS </w:t>
            </w:r>
            <w:r>
              <w:rPr>
                <w:rFonts w:hint="eastAsia"/>
                <w:b/>
                <w:sz w:val="21"/>
                <w:szCs w:val="21"/>
              </w:rPr>
              <w:t>组织对重要过程实施控制的结果</w:t>
            </w:r>
            <w:r>
              <w:rPr>
                <w:b/>
                <w:sz w:val="21"/>
                <w:szCs w:val="21"/>
              </w:rPr>
              <w:t>(</w:t>
            </w:r>
            <w:r>
              <w:rPr>
                <w:rFonts w:hint="eastAsia"/>
                <w:b/>
                <w:sz w:val="21"/>
                <w:szCs w:val="21"/>
              </w:rPr>
              <w:t>包括对</w:t>
            </w:r>
            <w:r>
              <w:rPr>
                <w:b/>
                <w:sz w:val="21"/>
                <w:szCs w:val="21"/>
              </w:rPr>
              <w:t>QMS</w:t>
            </w:r>
            <w:r>
              <w:rPr>
                <w:rFonts w:hint="eastAsia"/>
                <w:b/>
                <w:sz w:val="21"/>
                <w:szCs w:val="21"/>
              </w:rPr>
              <w:t>关键工序</w:t>
            </w:r>
            <w:r>
              <w:rPr>
                <w:b/>
                <w:sz w:val="21"/>
                <w:szCs w:val="21"/>
              </w:rPr>
              <w:t>(</w:t>
            </w:r>
            <w:r>
              <w:rPr>
                <w:rFonts w:hint="eastAsia"/>
                <w:b/>
                <w:sz w:val="21"/>
                <w:szCs w:val="21"/>
              </w:rPr>
              <w:t>过程</w:t>
            </w:r>
            <w:r>
              <w:rPr>
                <w:b/>
                <w:sz w:val="21"/>
                <w:szCs w:val="21"/>
              </w:rPr>
              <w:t>)</w:t>
            </w:r>
            <w:r>
              <w:rPr>
                <w:rFonts w:hint="eastAsia"/>
                <w:b/>
                <w:sz w:val="21"/>
                <w:szCs w:val="21"/>
              </w:rPr>
              <w:t>、特殊过程控制</w:t>
            </w:r>
            <w:r>
              <w:rPr>
                <w:b/>
                <w:sz w:val="21"/>
                <w:szCs w:val="21"/>
              </w:rPr>
              <w:t>;</w:t>
            </w:r>
            <w:r>
              <w:rPr>
                <w:rFonts w:hint="eastAsia"/>
                <w:b/>
                <w:sz w:val="21"/>
                <w:szCs w:val="21"/>
              </w:rPr>
              <w:t>评价组织对过程实施控制情况</w:t>
            </w:r>
            <w:r>
              <w:rPr>
                <w:b/>
                <w:sz w:val="21"/>
                <w:szCs w:val="21"/>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1"/>
                <w:szCs w:val="21"/>
              </w:rPr>
            </w:pPr>
            <w:r>
              <w:rPr>
                <w:rFonts w:hint="eastAsia" w:ascii="Times New Roman" w:hAnsi="Times New Roman" w:cs="Times New Roman"/>
                <w:sz w:val="21"/>
                <w:szCs w:val="21"/>
              </w:rPr>
              <w:t>产品和服务要求</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主要根据顾客提出的产品要求/标书中明示产品要求/产品执行的技术指标等进行控制，严格按要求进行了合同评审—确保能满足客户需求，控制情况较好。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1"/>
                <w:szCs w:val="21"/>
              </w:rPr>
            </w:pPr>
            <w:r>
              <w:rPr>
                <w:rFonts w:hint="eastAsia" w:ascii="Times New Roman" w:hAnsi="Times New Roman" w:cs="Times New Roman"/>
                <w:sz w:val="21"/>
                <w:szCs w:val="21"/>
              </w:rPr>
              <w:t>采购过程控制：首先编制采购产品验收规范、采购产品检验规程等作业文件规定采购产品质量要求；其次对</w:t>
            </w:r>
            <w:r>
              <w:rPr>
                <w:rFonts w:hint="eastAsia" w:ascii="Times New Roman" w:hAnsi="Times New Roman" w:cs="Times New Roman"/>
                <w:sz w:val="21"/>
                <w:szCs w:val="21"/>
                <w:lang w:eastAsia="zh-CN"/>
              </w:rPr>
              <w:t>供方</w:t>
            </w:r>
            <w:r>
              <w:rPr>
                <w:rFonts w:hint="eastAsia" w:ascii="Times New Roman" w:hAnsi="Times New Roman" w:cs="Times New Roman"/>
                <w:sz w:val="21"/>
                <w:szCs w:val="21"/>
              </w:rPr>
              <w:t>进行了评价，保证采购产品</w:t>
            </w:r>
            <w:r>
              <w:rPr>
                <w:rFonts w:hint="eastAsia" w:ascii="Times New Roman" w:hAnsi="Times New Roman" w:cs="Times New Roman"/>
                <w:sz w:val="21"/>
                <w:szCs w:val="21"/>
                <w:lang w:val="en-US" w:eastAsia="zh-CN"/>
              </w:rPr>
              <w:t>/服务</w:t>
            </w:r>
            <w:r>
              <w:rPr>
                <w:rFonts w:hint="eastAsia" w:ascii="Times New Roman" w:hAnsi="Times New Roman" w:cs="Times New Roman"/>
                <w:sz w:val="21"/>
                <w:szCs w:val="21"/>
              </w:rPr>
              <w:t>的质量符合公司要求；通过制定采购计划实施采购，</w:t>
            </w:r>
            <w:r>
              <w:rPr>
                <w:rFonts w:hint="eastAsia" w:ascii="Times New Roman" w:hAnsi="Times New Roman" w:cs="Times New Roman"/>
                <w:sz w:val="21"/>
                <w:szCs w:val="21"/>
                <w:lang w:eastAsia="zh-CN"/>
              </w:rPr>
              <w:t>目前控制状况良好</w:t>
            </w:r>
            <w:r>
              <w:rPr>
                <w:rFonts w:hint="eastAsia" w:ascii="Times New Roman" w:hAnsi="Times New Roman" w:cs="Times New Roman"/>
                <w:sz w:val="21"/>
                <w:szCs w:val="21"/>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sz w:val="21"/>
                <w:szCs w:val="21"/>
                <w:lang w:eastAsia="zh-CN"/>
              </w:rPr>
            </w:pPr>
            <w:r>
              <w:rPr>
                <w:rFonts w:hint="eastAsia" w:ascii="Times New Roman" w:hAnsi="Times New Roman" w:cs="Times New Roman"/>
                <w:sz w:val="21"/>
                <w:szCs w:val="21"/>
              </w:rPr>
              <w:t>生产和服务提供：</w:t>
            </w:r>
            <w:r>
              <w:rPr>
                <w:rFonts w:hint="eastAsia" w:ascii="Times New Roman" w:hAnsi="Times New Roman" w:cs="Times New Roman"/>
                <w:sz w:val="21"/>
                <w:szCs w:val="21"/>
                <w:lang w:val="en-GB"/>
              </w:rPr>
              <w:t>依据产品标准、客户要求进行</w:t>
            </w:r>
            <w:r>
              <w:rPr>
                <w:rFonts w:hint="eastAsia" w:cs="Times New Roman"/>
                <w:sz w:val="21"/>
                <w:szCs w:val="21"/>
                <w:lang w:val="en-US" w:eastAsia="zh-CN"/>
              </w:rPr>
              <w:t>生产、销售</w:t>
            </w:r>
            <w:r>
              <w:rPr>
                <w:rFonts w:hint="eastAsia" w:ascii="Times New Roman" w:hAnsi="Times New Roman" w:cs="Times New Roman"/>
                <w:sz w:val="21"/>
                <w:szCs w:val="21"/>
                <w:lang w:val="en-GB"/>
              </w:rPr>
              <w:t>，</w:t>
            </w:r>
            <w:r>
              <w:rPr>
                <w:rFonts w:hint="eastAsia" w:ascii="Times New Roman" w:hAnsi="Times New Roman" w:cs="Times New Roman"/>
                <w:sz w:val="21"/>
                <w:szCs w:val="21"/>
              </w:rPr>
              <w:t>明确了质量标准等，编制了</w:t>
            </w:r>
            <w:r>
              <w:rPr>
                <w:rFonts w:hint="eastAsia" w:ascii="Times New Roman" w:hAnsi="Times New Roman"/>
                <w:sz w:val="21"/>
                <w:szCs w:val="21"/>
                <w:lang w:val="en-US" w:eastAsia="zh-CN"/>
              </w:rPr>
              <w:t>《质量目标考核办法》、《采购流程与制度》、《销售服务规范》、《销售服务考核办法》、《产品三包规定》、《顾客满意度调查制度》</w:t>
            </w:r>
            <w:r>
              <w:rPr>
                <w:rFonts w:hint="eastAsia"/>
                <w:sz w:val="21"/>
                <w:szCs w:val="21"/>
                <w:lang w:val="en-US" w:eastAsia="zh-CN"/>
              </w:rPr>
              <w:t>、《生产过程检验规范》、《成品检验规范》、《设备管理制度》、《设备操作规程》</w:t>
            </w:r>
            <w:r>
              <w:rPr>
                <w:rFonts w:hint="eastAsia" w:ascii="Times New Roman" w:hAnsi="Times New Roman" w:cs="Times New Roman"/>
                <w:sz w:val="21"/>
                <w:szCs w:val="21"/>
              </w:rPr>
              <w:t>，对</w:t>
            </w:r>
            <w:r>
              <w:rPr>
                <w:rFonts w:hint="eastAsia" w:cs="Times New Roman"/>
                <w:sz w:val="21"/>
                <w:szCs w:val="21"/>
                <w:lang w:val="en-US" w:eastAsia="zh-CN"/>
              </w:rPr>
              <w:t>挤出、缠绕、切割</w:t>
            </w:r>
            <w:r>
              <w:rPr>
                <w:rFonts w:hint="eastAsia" w:ascii="Times New Roman" w:hAnsi="Times New Roman" w:cs="Times New Roman"/>
                <w:sz w:val="21"/>
                <w:szCs w:val="21"/>
              </w:rPr>
              <w:t>、检验</w:t>
            </w:r>
            <w:r>
              <w:rPr>
                <w:rFonts w:hint="eastAsia" w:cs="Times New Roman"/>
                <w:sz w:val="21"/>
                <w:szCs w:val="21"/>
                <w:lang w:eastAsia="zh-CN"/>
              </w:rPr>
              <w:t>、</w:t>
            </w:r>
            <w:r>
              <w:rPr>
                <w:rFonts w:hint="eastAsia" w:cs="Times New Roman"/>
                <w:sz w:val="21"/>
                <w:szCs w:val="21"/>
                <w:lang w:val="en-US" w:eastAsia="zh-CN"/>
              </w:rPr>
              <w:t>销售</w:t>
            </w:r>
            <w:r>
              <w:rPr>
                <w:rFonts w:hint="eastAsia" w:ascii="Times New Roman" w:hAnsi="Times New Roman" w:cs="Times New Roman"/>
                <w:sz w:val="21"/>
                <w:szCs w:val="21"/>
              </w:rPr>
              <w:t>各个过</w:t>
            </w:r>
            <w:r>
              <w:rPr>
                <w:rFonts w:hint="eastAsia"/>
                <w:sz w:val="21"/>
                <w:szCs w:val="21"/>
              </w:rPr>
              <w:t>程、因素进行控制。</w:t>
            </w:r>
            <w:r>
              <w:rPr>
                <w:rFonts w:hint="eastAsia" w:ascii="宋体" w:hAnsi="宋体"/>
                <w:sz w:val="21"/>
                <w:szCs w:val="21"/>
                <w:lang w:val="en-GB"/>
              </w:rPr>
              <w:t>现场查看</w:t>
            </w:r>
            <w:r>
              <w:rPr>
                <w:rFonts w:hint="eastAsia" w:ascii="宋体" w:hAnsi="宋体"/>
                <w:sz w:val="21"/>
                <w:szCs w:val="21"/>
                <w:lang w:val="en-US" w:eastAsia="zh-CN"/>
              </w:rPr>
              <w:t>生产计划、过程监控</w:t>
            </w:r>
            <w:r>
              <w:rPr>
                <w:rFonts w:hint="eastAsia" w:ascii="宋体" w:hAnsi="宋体"/>
                <w:sz w:val="21"/>
                <w:szCs w:val="21"/>
                <w:lang w:val="en-GB"/>
              </w:rPr>
              <w:t>记录</w:t>
            </w:r>
            <w:r>
              <w:rPr>
                <w:rFonts w:hint="eastAsia" w:ascii="宋体" w:hAnsi="宋体"/>
                <w:sz w:val="21"/>
                <w:szCs w:val="21"/>
                <w:lang w:val="en-GB" w:eastAsia="zh-CN"/>
              </w:rPr>
              <w:t>、</w:t>
            </w:r>
            <w:r>
              <w:rPr>
                <w:rFonts w:hint="eastAsia" w:ascii="宋体" w:hAnsi="宋体"/>
                <w:sz w:val="21"/>
                <w:szCs w:val="21"/>
                <w:lang w:val="en-US" w:eastAsia="zh-CN"/>
              </w:rPr>
              <w:t>销售服务记录</w:t>
            </w:r>
            <w:r>
              <w:rPr>
                <w:rFonts w:hint="eastAsia" w:ascii="宋体" w:hAnsi="宋体"/>
                <w:sz w:val="21"/>
                <w:szCs w:val="21"/>
                <w:lang w:val="en-GB"/>
              </w:rPr>
              <w:t>及</w:t>
            </w:r>
            <w:r>
              <w:rPr>
                <w:rFonts w:hint="eastAsia" w:ascii="宋体" w:hAnsi="宋体"/>
                <w:sz w:val="21"/>
                <w:szCs w:val="21"/>
                <w:lang w:val="en-US" w:eastAsia="zh-CN"/>
              </w:rPr>
              <w:t>现场</w:t>
            </w:r>
            <w:r>
              <w:rPr>
                <w:rFonts w:hint="eastAsia" w:ascii="宋体" w:hAnsi="宋体"/>
                <w:sz w:val="21"/>
                <w:szCs w:val="21"/>
                <w:lang w:val="en-GB"/>
              </w:rPr>
              <w:t>情况，均按照要求进行操作</w:t>
            </w:r>
            <w:r>
              <w:rPr>
                <w:rFonts w:hint="eastAsia"/>
                <w:sz w:val="21"/>
                <w:szCs w:val="21"/>
              </w:rPr>
              <w:t>，目前生产和服务过程控制情况较好</w:t>
            </w:r>
            <w:r>
              <w:rPr>
                <w:rFonts w:hint="eastAsia" w:ascii="宋体" w:hAnsi="宋体"/>
                <w:sz w:val="21"/>
                <w:szCs w:val="21"/>
                <w:lang w:val="en-GB"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GB"/>
              </w:rPr>
              <w:t>产品检验：分为原材料</w:t>
            </w:r>
            <w:r>
              <w:rPr>
                <w:rFonts w:hint="eastAsia" w:cs="Times New Roman"/>
                <w:sz w:val="21"/>
                <w:szCs w:val="21"/>
                <w:lang w:val="en-GB" w:eastAsia="zh-CN"/>
              </w:rPr>
              <w:t>、</w:t>
            </w:r>
            <w:r>
              <w:rPr>
                <w:rFonts w:hint="eastAsia" w:cs="Times New Roman"/>
                <w:sz w:val="21"/>
                <w:szCs w:val="21"/>
                <w:lang w:val="en-US" w:eastAsia="zh-CN"/>
              </w:rPr>
              <w:t>过程检验</w:t>
            </w:r>
            <w:r>
              <w:rPr>
                <w:rFonts w:hint="eastAsia" w:ascii="Times New Roman" w:hAnsi="Times New Roman" w:cs="Times New Roman"/>
                <w:sz w:val="21"/>
                <w:szCs w:val="21"/>
                <w:lang w:val="en-GB" w:eastAsia="zh-CN"/>
              </w:rPr>
              <w:t>及</w:t>
            </w:r>
            <w:r>
              <w:rPr>
                <w:rFonts w:hint="eastAsia" w:ascii="Times New Roman" w:hAnsi="Times New Roman" w:cs="Times New Roman"/>
                <w:sz w:val="21"/>
                <w:szCs w:val="21"/>
                <w:lang w:val="en-GB"/>
              </w:rPr>
              <w:t>成品检验，原材料采取进货验证，</w:t>
            </w:r>
            <w:r>
              <w:rPr>
                <w:rFonts w:hint="eastAsia" w:cs="Times New Roman"/>
                <w:sz w:val="21"/>
                <w:szCs w:val="21"/>
                <w:lang w:val="en-US" w:eastAsia="zh-CN"/>
              </w:rPr>
              <w:t>过程检验为随工/工艺参数</w:t>
            </w:r>
            <w:r>
              <w:rPr>
                <w:rFonts w:hint="eastAsia" w:ascii="Times New Roman" w:hAnsi="Times New Roman" w:cs="Times New Roman"/>
                <w:sz w:val="21"/>
                <w:szCs w:val="21"/>
                <w:lang w:val="en-GB" w:eastAsia="zh-CN"/>
              </w:rPr>
              <w:t>检验，</w:t>
            </w:r>
            <w:r>
              <w:rPr>
                <w:rFonts w:hint="eastAsia" w:ascii="Times New Roman" w:hAnsi="Times New Roman" w:cs="Times New Roman"/>
                <w:sz w:val="21"/>
                <w:szCs w:val="21"/>
                <w:lang w:val="en-GB"/>
              </w:rPr>
              <w:t>产品</w:t>
            </w:r>
            <w:r>
              <w:rPr>
                <w:rFonts w:hint="eastAsia" w:cs="Times New Roman"/>
                <w:sz w:val="21"/>
                <w:szCs w:val="21"/>
                <w:lang w:val="en-US" w:eastAsia="zh-CN"/>
              </w:rPr>
              <w:t>为自检及销售服务检验</w:t>
            </w:r>
            <w:r>
              <w:rPr>
                <w:rFonts w:hint="eastAsia" w:ascii="Times New Roman" w:hAnsi="Times New Roman" w:cs="Times New Roman"/>
                <w:sz w:val="21"/>
                <w:szCs w:val="21"/>
                <w:lang w:val="en-GB"/>
              </w:rPr>
              <w:t>；原材料</w:t>
            </w:r>
            <w:r>
              <w:rPr>
                <w:rFonts w:hint="eastAsia" w:ascii="Times New Roman" w:hAnsi="Times New Roman" w:cs="Times New Roman"/>
                <w:sz w:val="21"/>
                <w:szCs w:val="21"/>
                <w:lang w:val="en-GB" w:eastAsia="zh-CN"/>
              </w:rPr>
              <w:t>主要验证</w:t>
            </w:r>
            <w:r>
              <w:rPr>
                <w:rFonts w:hint="eastAsia" w:ascii="Times New Roman" w:hAnsi="Times New Roman" w:cs="Times New Roman"/>
                <w:sz w:val="21"/>
                <w:szCs w:val="21"/>
                <w:lang w:val="en-GB"/>
              </w:rPr>
              <w:t>项目有</w:t>
            </w:r>
            <w:r>
              <w:rPr>
                <w:rFonts w:hint="eastAsia" w:ascii="Times New Roman" w:hAnsi="Times New Roman" w:cs="Times New Roman"/>
                <w:sz w:val="21"/>
                <w:szCs w:val="21"/>
              </w:rPr>
              <w:t>数量</w:t>
            </w:r>
            <w:r>
              <w:rPr>
                <w:rFonts w:hint="eastAsia" w:ascii="Times New Roman" w:hAnsi="Times New Roman" w:cs="Times New Roman"/>
                <w:sz w:val="21"/>
                <w:szCs w:val="21"/>
                <w:lang w:val="en-US" w:eastAsia="zh-CN"/>
              </w:rPr>
              <w:t>/</w:t>
            </w:r>
            <w:r>
              <w:rPr>
                <w:rFonts w:hint="eastAsia" w:ascii="Times New Roman" w:hAnsi="Times New Roman" w:cs="Times New Roman"/>
                <w:sz w:val="21"/>
                <w:szCs w:val="21"/>
              </w:rPr>
              <w:t>外观</w:t>
            </w:r>
            <w:r>
              <w:rPr>
                <w:rFonts w:hint="eastAsia" w:ascii="Times New Roman" w:hAnsi="Times New Roman" w:cs="Times New Roman"/>
                <w:sz w:val="21"/>
                <w:szCs w:val="21"/>
                <w:lang w:val="en-US" w:eastAsia="zh-CN"/>
              </w:rPr>
              <w:t>/尺寸/材质单</w:t>
            </w:r>
            <w:r>
              <w:rPr>
                <w:rFonts w:hint="eastAsia" w:ascii="Times New Roman" w:hAnsi="Times New Roman" w:cs="Times New Roman"/>
                <w:sz w:val="21"/>
                <w:szCs w:val="21"/>
                <w:lang w:val="en-GB"/>
              </w:rPr>
              <w:t>；</w:t>
            </w:r>
            <w:r>
              <w:rPr>
                <w:rFonts w:hint="eastAsia" w:cs="Times New Roman"/>
                <w:sz w:val="21"/>
                <w:szCs w:val="21"/>
                <w:lang w:val="en-US" w:eastAsia="zh-CN"/>
              </w:rPr>
              <w:t>过程检验</w:t>
            </w:r>
            <w:r>
              <w:rPr>
                <w:rFonts w:hint="eastAsia" w:ascii="Times New Roman" w:hAnsi="Times New Roman" w:cs="Times New Roman"/>
                <w:sz w:val="21"/>
                <w:szCs w:val="21"/>
                <w:lang w:val="en-GB" w:eastAsia="zh-CN"/>
              </w:rPr>
              <w:t>主要为关键工序检验</w:t>
            </w:r>
            <w:r>
              <w:rPr>
                <w:rFonts w:hint="eastAsia" w:ascii="Times New Roman" w:hAnsi="Times New Roman" w:cs="Times New Roman"/>
                <w:sz w:val="21"/>
                <w:szCs w:val="21"/>
                <w:lang w:val="en-US" w:eastAsia="zh-CN"/>
              </w:rPr>
              <w:t>，验证项目为</w:t>
            </w:r>
            <w:r>
              <w:rPr>
                <w:rFonts w:hint="eastAsia" w:cs="Times New Roman"/>
                <w:sz w:val="21"/>
                <w:szCs w:val="21"/>
                <w:lang w:val="en-US" w:eastAsia="zh-CN"/>
              </w:rPr>
              <w:t>操作符合性</w:t>
            </w:r>
            <w:r>
              <w:rPr>
                <w:rFonts w:hint="eastAsia" w:ascii="Times New Roman" w:hAnsi="Times New Roman" w:cs="Times New Roman"/>
                <w:sz w:val="21"/>
                <w:szCs w:val="21"/>
                <w:lang w:val="en-US" w:eastAsia="zh-CN"/>
              </w:rPr>
              <w:t>；</w:t>
            </w:r>
            <w:r>
              <w:rPr>
                <w:rFonts w:hint="eastAsia" w:ascii="Times New Roman" w:hAnsi="Times New Roman" w:cs="Times New Roman"/>
                <w:sz w:val="21"/>
                <w:szCs w:val="21"/>
                <w:lang w:val="en-GB"/>
              </w:rPr>
              <w:t>成品检验</w:t>
            </w:r>
            <w:r>
              <w:rPr>
                <w:rFonts w:hint="eastAsia" w:ascii="Times New Roman" w:hAnsi="Times New Roman" w:cs="Times New Roman"/>
                <w:sz w:val="21"/>
                <w:szCs w:val="21"/>
                <w:lang w:val="en-GB" w:eastAsia="zh-CN"/>
              </w:rPr>
              <w:t>：检验</w:t>
            </w:r>
            <w:r>
              <w:rPr>
                <w:rFonts w:hint="eastAsia" w:ascii="Times New Roman" w:hAnsi="Times New Roman" w:cs="Times New Roman"/>
                <w:sz w:val="21"/>
                <w:szCs w:val="21"/>
                <w:lang w:eastAsia="zh-CN"/>
              </w:rPr>
              <w:t>项目有</w:t>
            </w:r>
            <w:r>
              <w:rPr>
                <w:rFonts w:hint="eastAsia" w:ascii="Times New Roman" w:hAnsi="Times New Roman"/>
                <w:sz w:val="21"/>
                <w:szCs w:val="21"/>
                <w:lang w:val="en-US" w:eastAsia="zh-CN"/>
              </w:rPr>
              <w:t>外观、尺寸、低压密封性能、高压密封性能、附着力、涂层厚度（内）</w:t>
            </w:r>
            <w:r>
              <w:rPr>
                <w:rFonts w:hint="eastAsia" w:ascii="Times New Roman" w:hAnsi="Times New Roman" w:cs="Times New Roman"/>
                <w:sz w:val="21"/>
                <w:szCs w:val="21"/>
                <w:lang w:val="zh-CN"/>
              </w:rPr>
              <w:t>等</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提供</w:t>
            </w:r>
            <w:r>
              <w:rPr>
                <w:rFonts w:hint="eastAsia" w:ascii="Times New Roman" w:hAnsi="Times New Roman" w:cs="Times New Roman"/>
                <w:sz w:val="21"/>
                <w:szCs w:val="21"/>
                <w:lang w:eastAsia="zh-CN"/>
              </w:rPr>
              <w:t>原材料、</w:t>
            </w:r>
            <w:r>
              <w:rPr>
                <w:rFonts w:hint="eastAsia" w:cs="Times New Roman"/>
                <w:sz w:val="21"/>
                <w:szCs w:val="21"/>
                <w:lang w:val="en-US" w:eastAsia="zh-CN"/>
              </w:rPr>
              <w:t>过程</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产品检验</w:t>
            </w:r>
            <w:r>
              <w:rPr>
                <w:rFonts w:hint="eastAsia" w:cs="Times New Roman"/>
                <w:sz w:val="21"/>
                <w:szCs w:val="21"/>
                <w:lang w:eastAsia="zh-CN"/>
              </w:rPr>
              <w:t>、</w:t>
            </w:r>
            <w:r>
              <w:rPr>
                <w:rFonts w:hint="eastAsia" w:cs="Times New Roman"/>
                <w:sz w:val="21"/>
                <w:szCs w:val="21"/>
                <w:lang w:val="en-US" w:eastAsia="zh-CN"/>
              </w:rPr>
              <w:t>销售服务检验</w:t>
            </w:r>
            <w:r>
              <w:rPr>
                <w:rFonts w:hint="eastAsia" w:ascii="Times New Roman" w:hAnsi="Times New Roman" w:cs="Times New Roman"/>
                <w:sz w:val="21"/>
                <w:szCs w:val="21"/>
              </w:rPr>
              <w:t>记录</w:t>
            </w:r>
            <w:r>
              <w:rPr>
                <w:rFonts w:hint="eastAsia" w:ascii="Times New Roman" w:hAnsi="Times New Roman" w:cs="Times New Roman"/>
                <w:sz w:val="21"/>
                <w:szCs w:val="21"/>
                <w:lang w:eastAsia="zh-CN"/>
              </w:rPr>
              <w:t>。审核结论：产品的监视和测量符合要求。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2" w:hRule="atLeast"/>
          <w:jc w:val="center"/>
        </w:trPr>
        <w:tc>
          <w:tcPr>
            <w:tcW w:w="681" w:type="dxa"/>
            <w:vMerge w:val="continue"/>
            <w:vAlign w:val="center"/>
          </w:tcPr>
          <w:p>
            <w:pPr>
              <w:spacing w:line="240" w:lineRule="exact"/>
              <w:jc w:val="center"/>
              <w:rPr>
                <w:b/>
                <w:szCs w:val="21"/>
              </w:rPr>
            </w:pPr>
          </w:p>
        </w:tc>
        <w:tc>
          <w:tcPr>
            <w:tcW w:w="9237" w:type="dxa"/>
            <w:vAlign w:val="top"/>
          </w:tcPr>
          <w:p>
            <w:pPr>
              <w:keepNext w:val="0"/>
              <w:keepLines w:val="0"/>
              <w:pageBreakBefore w:val="0"/>
              <w:kinsoku/>
              <w:wordWrap/>
              <w:overflowPunct/>
              <w:topLinePunct w:val="0"/>
              <w:autoSpaceDE/>
              <w:autoSpaceDN/>
              <w:bidi w:val="0"/>
              <w:adjustRightInd/>
              <w:snapToGrid/>
              <w:spacing w:line="340" w:lineRule="exact"/>
              <w:jc w:val="left"/>
              <w:textAlignment w:val="auto"/>
              <w:rPr>
                <w:b/>
                <w:color w:val="000000"/>
                <w:sz w:val="21"/>
                <w:szCs w:val="21"/>
              </w:rPr>
            </w:pPr>
            <w:r>
              <w:rPr>
                <w:b/>
                <w:color w:val="000000"/>
                <w:sz w:val="21"/>
                <w:szCs w:val="21"/>
              </w:rPr>
              <w:t>4.QMS</w:t>
            </w:r>
            <w:r>
              <w:rPr>
                <w:rFonts w:hint="eastAsia"/>
                <w:b/>
                <w:color w:val="000000"/>
                <w:sz w:val="21"/>
                <w:szCs w:val="21"/>
              </w:rPr>
              <w:t>产品</w:t>
            </w:r>
            <w:r>
              <w:rPr>
                <w:b/>
                <w:color w:val="000000"/>
                <w:sz w:val="21"/>
                <w:szCs w:val="21"/>
              </w:rPr>
              <w:t>/</w:t>
            </w:r>
            <w:r>
              <w:rPr>
                <w:rFonts w:hint="eastAsia"/>
                <w:b/>
                <w:color w:val="000000"/>
                <w:sz w:val="21"/>
                <w:szCs w:val="21"/>
              </w:rPr>
              <w:t>服务的标准、协议</w:t>
            </w:r>
            <w:r>
              <w:rPr>
                <w:b/>
                <w:color w:val="000000"/>
                <w:sz w:val="21"/>
                <w:szCs w:val="21"/>
              </w:rPr>
              <w:t>/</w:t>
            </w:r>
            <w:r>
              <w:rPr>
                <w:rFonts w:hint="eastAsia"/>
                <w:b/>
                <w:color w:val="000000"/>
                <w:sz w:val="21"/>
                <w:szCs w:val="21"/>
              </w:rPr>
              <w:t>规范的有效性以及产品</w:t>
            </w:r>
            <w:r>
              <w:rPr>
                <w:b/>
                <w:color w:val="000000"/>
                <w:sz w:val="21"/>
                <w:szCs w:val="21"/>
              </w:rPr>
              <w:t>/</w:t>
            </w:r>
            <w:r>
              <w:rPr>
                <w:rFonts w:hint="eastAsia"/>
                <w:b/>
                <w:color w:val="000000"/>
                <w:sz w:val="21"/>
                <w:szCs w:val="21"/>
              </w:rPr>
              <w:t>服务质量符合要求，向顾客稳定提供合格产品的情况</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kern w:val="2"/>
                <w:sz w:val="24"/>
                <w:szCs w:val="21"/>
                <w:lang w:val="en-US" w:eastAsia="zh-CN" w:bidi="ar-SA"/>
              </w:rPr>
            </w:pPr>
            <w:r>
              <w:rPr>
                <w:rFonts w:hint="eastAsia" w:ascii="Times New Roman" w:hAnsi="Times New Roman" w:cs="Times New Roman"/>
                <w:sz w:val="21"/>
                <w:szCs w:val="21"/>
                <w:lang w:val="en-US" w:eastAsia="zh-CN"/>
              </w:rPr>
              <w:t>主要满足</w:t>
            </w:r>
            <w:r>
              <w:rPr>
                <w:rFonts w:hint="eastAsia"/>
                <w:sz w:val="21"/>
                <w:szCs w:val="21"/>
                <w:lang w:eastAsia="zh-CN"/>
              </w:rPr>
              <w:t>GB/T10544-2003《钢丝缠绕增强外覆橡胶的液压橡胶软管和软管组合件》、GB/T 19089-2003《矿用输送空气和水的织物增强橡胶软管及软管组合件》、GB/T 28897-2012《钢塑复合管》、GB/T10546-89《钢丝编织液化石油气软管》JB/T1616 《管式空气预热器技术条件》</w:t>
            </w:r>
            <w:r>
              <w:rPr>
                <w:rFonts w:hint="eastAsia" w:ascii="Times New Roman" w:hAnsi="Times New Roman" w:cs="Times New Roman"/>
                <w:sz w:val="21"/>
                <w:szCs w:val="21"/>
                <w:lang w:val="en-US" w:eastAsia="zh-CN"/>
              </w:rPr>
              <w:t>及客户要求，目前向顾客提供的产品</w:t>
            </w:r>
            <w:r>
              <w:rPr>
                <w:rFonts w:hint="eastAsia" w:cs="Times New Roman"/>
                <w:sz w:val="21"/>
                <w:szCs w:val="21"/>
                <w:lang w:val="en-US" w:eastAsia="zh-CN"/>
              </w:rPr>
              <w:t>/服务</w:t>
            </w:r>
            <w:r>
              <w:rPr>
                <w:rFonts w:hint="eastAsia" w:ascii="Times New Roman" w:hAnsi="Times New Roman" w:cs="Times New Roman"/>
                <w:sz w:val="21"/>
                <w:szCs w:val="21"/>
                <w:lang w:val="en-US" w:eastAsia="zh-CN"/>
              </w:rPr>
              <w:t>均合格，提供有产品检验记录、客户验收记录。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681" w:type="dxa"/>
            <w:vMerge w:val="continue"/>
            <w:vAlign w:val="center"/>
          </w:tcPr>
          <w:p>
            <w:pPr>
              <w:spacing w:line="240" w:lineRule="exact"/>
              <w:jc w:val="center"/>
              <w:rPr>
                <w:b/>
                <w:szCs w:val="21"/>
              </w:rPr>
            </w:pPr>
          </w:p>
        </w:tc>
        <w:tc>
          <w:tcPr>
            <w:tcW w:w="9237" w:type="dxa"/>
            <w:vAlign w:val="top"/>
          </w:tcPr>
          <w:p>
            <w:pPr>
              <w:keepNext w:val="0"/>
              <w:keepLines w:val="0"/>
              <w:pageBreakBefore w:val="0"/>
              <w:kinsoku/>
              <w:wordWrap/>
              <w:overflowPunct/>
              <w:topLinePunct w:val="0"/>
              <w:autoSpaceDE/>
              <w:autoSpaceDN/>
              <w:bidi w:val="0"/>
              <w:adjustRightInd/>
              <w:snapToGrid/>
              <w:spacing w:line="340" w:lineRule="exact"/>
              <w:textAlignment w:val="auto"/>
              <w:rPr>
                <w:b/>
                <w:color w:val="000000"/>
                <w:sz w:val="20"/>
              </w:rPr>
            </w:pPr>
            <w:r>
              <w:rPr>
                <w:b/>
                <w:color w:val="000000"/>
                <w:sz w:val="20"/>
              </w:rPr>
              <w:t>5 .QMS</w:t>
            </w:r>
            <w:r>
              <w:rPr>
                <w:rFonts w:hint="eastAsia"/>
                <w:b/>
                <w:color w:val="000000"/>
                <w:sz w:val="20"/>
              </w:rPr>
              <w:t>国家</w:t>
            </w:r>
            <w:r>
              <w:rPr>
                <w:b/>
                <w:color w:val="000000"/>
                <w:sz w:val="20"/>
              </w:rPr>
              <w:t>/</w:t>
            </w:r>
            <w:r>
              <w:rPr>
                <w:rFonts w:hint="eastAsia"/>
                <w:b/>
                <w:color w:val="000000"/>
                <w:sz w:val="20"/>
              </w:rPr>
              <w:t>地方技术监督部门监测（检测、委托检测、定期监测、型式试验等）、抽查结果</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imes New Roman" w:hAnsi="Times New Roman" w:eastAsia="宋体" w:cs="Times New Roman"/>
                <w:b/>
                <w:color w:val="000000"/>
                <w:kern w:val="2"/>
                <w:sz w:val="20"/>
                <w:lang w:val="en-US" w:eastAsia="zh-CN" w:bidi="ar-SA"/>
              </w:rPr>
            </w:pPr>
            <w:r>
              <w:rPr>
                <w:rFonts w:hint="eastAsia"/>
                <w:b/>
                <w:color w:val="000000"/>
                <w:sz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7" w:hRule="atLeast"/>
          <w:jc w:val="center"/>
        </w:trPr>
        <w:tc>
          <w:tcPr>
            <w:tcW w:w="681" w:type="dxa"/>
            <w:vMerge w:val="continue"/>
            <w:vAlign w:val="center"/>
          </w:tcPr>
          <w:p>
            <w:pPr>
              <w:spacing w:line="240" w:lineRule="exact"/>
              <w:jc w:val="center"/>
              <w:rPr>
                <w:b/>
                <w:szCs w:val="21"/>
              </w:rPr>
            </w:pP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textAlignment w:val="auto"/>
              <w:rPr>
                <w:b/>
                <w:color w:val="000000" w:themeColor="text1"/>
                <w:spacing w:val="-8"/>
                <w:sz w:val="20"/>
                <w:szCs w:val="20"/>
              </w:rPr>
            </w:pPr>
            <w:r>
              <w:rPr>
                <w:rFonts w:hint="eastAsia"/>
                <w:b/>
                <w:color w:val="000000" w:themeColor="text1"/>
                <w:sz w:val="20"/>
                <w:szCs w:val="20"/>
                <w:lang w:val="en-US" w:eastAsia="zh-CN"/>
              </w:rPr>
              <w:t>6</w:t>
            </w:r>
            <w:r>
              <w:rPr>
                <w:rFonts w:hint="eastAsia"/>
                <w:b/>
                <w:color w:val="000000" w:themeColor="text1"/>
                <w:sz w:val="20"/>
                <w:szCs w:val="20"/>
              </w:rPr>
              <w:t xml:space="preserve">. </w:t>
            </w:r>
            <w:r>
              <w:rPr>
                <w:rFonts w:hint="eastAsia"/>
                <w:b/>
                <w:color w:val="000000" w:themeColor="text1"/>
                <w:spacing w:val="-8"/>
                <w:sz w:val="20"/>
                <w:szCs w:val="20"/>
              </w:rPr>
              <w:t>不合格品/项的识别、控制;</w:t>
            </w:r>
          </w:p>
          <w:p>
            <w:pPr>
              <w:keepNext w:val="0"/>
              <w:keepLines w:val="0"/>
              <w:pageBreakBefore w:val="0"/>
              <w:kinsoku/>
              <w:wordWrap/>
              <w:overflowPunct/>
              <w:topLinePunct w:val="0"/>
              <w:autoSpaceDE/>
              <w:autoSpaceDN/>
              <w:bidi w:val="0"/>
              <w:adjustRightInd/>
              <w:snapToGrid/>
              <w:spacing w:line="400" w:lineRule="exact"/>
              <w:textAlignment w:val="auto"/>
              <w:rPr>
                <w:rFonts w:ascii="Times New Roman" w:hAnsi="Times New Roman" w:eastAsia="宋体" w:cs="Times New Roman"/>
                <w:b/>
                <w:color w:val="000000" w:themeColor="text1"/>
                <w:kern w:val="2"/>
                <w:sz w:val="20"/>
                <w:szCs w:val="20"/>
                <w:lang w:val="en-US" w:eastAsia="zh-CN" w:bidi="ar-SA"/>
              </w:rPr>
            </w:pPr>
            <w:r>
              <w:rPr>
                <w:rFonts w:hint="eastAsia"/>
                <w:sz w:val="21"/>
                <w:szCs w:val="21"/>
              </w:rPr>
              <w:t>对于</w:t>
            </w:r>
            <w:r>
              <w:rPr>
                <w:rFonts w:hint="eastAsia"/>
                <w:sz w:val="21"/>
                <w:szCs w:val="21"/>
                <w:lang w:val="en-US" w:eastAsia="zh-CN"/>
              </w:rPr>
              <w:t>不合格项</w:t>
            </w:r>
            <w:r>
              <w:rPr>
                <w:rFonts w:hint="eastAsia"/>
                <w:sz w:val="21"/>
                <w:szCs w:val="21"/>
              </w:rPr>
              <w:t>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681" w:type="dxa"/>
            <w:vMerge w:val="continue"/>
            <w:vAlign w:val="center"/>
          </w:tcPr>
          <w:p>
            <w:pPr>
              <w:spacing w:line="240" w:lineRule="exact"/>
              <w:jc w:val="center"/>
              <w:rPr>
                <w:b/>
                <w:szCs w:val="21"/>
              </w:rPr>
            </w:pP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textAlignment w:val="auto"/>
              <w:rPr>
                <w:b/>
                <w:color w:val="000000" w:themeColor="text1"/>
                <w:sz w:val="20"/>
                <w:szCs w:val="20"/>
              </w:rPr>
            </w:pPr>
            <w:r>
              <w:rPr>
                <w:rFonts w:hint="eastAsia"/>
                <w:b/>
                <w:color w:val="000000" w:themeColor="text1"/>
                <w:sz w:val="20"/>
                <w:szCs w:val="20"/>
                <w:lang w:val="en-US" w:eastAsia="zh-CN"/>
              </w:rPr>
              <w:t>7</w:t>
            </w:r>
            <w:r>
              <w:rPr>
                <w:rFonts w:hint="eastAsia"/>
                <w:b/>
                <w:color w:val="000000" w:themeColor="text1"/>
                <w:sz w:val="20"/>
                <w:szCs w:val="20"/>
              </w:rPr>
              <w:t>. EMS组织对重要环境因素实施控制的结果</w:t>
            </w:r>
          </w:p>
          <w:p>
            <w:pPr>
              <w:keepNext w:val="0"/>
              <w:keepLines w:val="0"/>
              <w:pageBreakBefore w:val="0"/>
              <w:kinsoku/>
              <w:wordWrap/>
              <w:overflowPunct/>
              <w:topLinePunct w:val="0"/>
              <w:autoSpaceDE/>
              <w:autoSpaceDN/>
              <w:bidi w:val="0"/>
              <w:adjustRightInd/>
              <w:snapToGrid/>
              <w:spacing w:line="400" w:lineRule="exact"/>
              <w:textAlignment w:val="auto"/>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keepNext w:val="0"/>
              <w:keepLines w:val="0"/>
              <w:pageBreakBefore w:val="0"/>
              <w:kinsoku/>
              <w:wordWrap/>
              <w:overflowPunct/>
              <w:topLinePunct w:val="0"/>
              <w:autoSpaceDE/>
              <w:autoSpaceDN/>
              <w:bidi w:val="0"/>
              <w:adjustRightInd/>
              <w:snapToGrid/>
              <w:spacing w:line="400" w:lineRule="exact"/>
              <w:textAlignment w:val="auto"/>
              <w:rPr>
                <w:rFonts w:ascii="Times New Roman" w:hAnsi="Times New Roman" w:eastAsia="宋体" w:cs="Times New Roman"/>
                <w:b/>
                <w:color w:val="000000" w:themeColor="text1"/>
                <w:kern w:val="2"/>
                <w:sz w:val="20"/>
                <w:szCs w:val="20"/>
                <w:lang w:val="en-US" w:eastAsia="zh-CN" w:bidi="ar-SA"/>
              </w:rPr>
            </w:pPr>
            <w:r>
              <w:rPr>
                <w:rFonts w:hint="eastAsia"/>
                <w:sz w:val="21"/>
                <w:szCs w:val="21"/>
                <w:lang w:val="en-GB"/>
              </w:rPr>
              <w:t>编制</w:t>
            </w:r>
            <w:r>
              <w:rPr>
                <w:rFonts w:hint="eastAsia"/>
                <w:sz w:val="21"/>
                <w:szCs w:val="21"/>
              </w:rPr>
              <w:t>环境、职业健康安全运行控制程序，固体废弃物管理</w:t>
            </w:r>
            <w:r>
              <w:rPr>
                <w:rFonts w:hint="eastAsia"/>
                <w:sz w:val="21"/>
                <w:szCs w:val="21"/>
                <w:lang w:val="en-US" w:eastAsia="zh-CN"/>
              </w:rPr>
              <w:t>规定</w:t>
            </w:r>
            <w:r>
              <w:rPr>
                <w:rFonts w:hint="eastAsia"/>
                <w:sz w:val="21"/>
                <w:szCs w:val="21"/>
              </w:rPr>
              <w:t>、对相关方施加影响</w:t>
            </w:r>
            <w:r>
              <w:rPr>
                <w:rFonts w:hint="eastAsia"/>
                <w:sz w:val="21"/>
                <w:szCs w:val="21"/>
                <w:lang w:val="en-US" w:eastAsia="zh-CN"/>
              </w:rPr>
              <w:t>管理规定</w:t>
            </w:r>
            <w:r>
              <w:rPr>
                <w:rFonts w:hint="eastAsia"/>
                <w:sz w:val="21"/>
                <w:szCs w:val="21"/>
              </w:rPr>
              <w:t>、节能降耗管理规定</w:t>
            </w:r>
            <w:r>
              <w:rPr>
                <w:rFonts w:hint="eastAsia"/>
                <w:sz w:val="21"/>
                <w:szCs w:val="21"/>
                <w:lang w:eastAsia="zh-CN"/>
              </w:rPr>
              <w:t>、</w:t>
            </w:r>
            <w:r>
              <w:rPr>
                <w:rFonts w:hint="eastAsia"/>
                <w:sz w:val="21"/>
                <w:szCs w:val="21"/>
              </w:rPr>
              <w:t>消防安全管理制度</w:t>
            </w:r>
            <w:r>
              <w:rPr>
                <w:rFonts w:hint="eastAsia"/>
                <w:sz w:val="21"/>
                <w:szCs w:val="21"/>
                <w:lang w:eastAsia="zh-CN"/>
              </w:rPr>
              <w:t>、</w:t>
            </w:r>
            <w:r>
              <w:rPr>
                <w:rFonts w:hint="eastAsia"/>
                <w:sz w:val="21"/>
                <w:szCs w:val="21"/>
              </w:rPr>
              <w:t>办公室安全管理制度等，针对各部门所负责的工作，分别对环境运行过程进行控制</w:t>
            </w:r>
            <w:r>
              <w:rPr>
                <w:rFonts w:hint="eastAsia"/>
                <w:sz w:val="21"/>
                <w:szCs w:val="21"/>
                <w:lang w:val="en-GB"/>
              </w:rPr>
              <w:t>，</w:t>
            </w:r>
            <w:r>
              <w:rPr>
                <w:rFonts w:hint="eastAsia"/>
                <w:sz w:val="21"/>
                <w:szCs w:val="21"/>
              </w:rPr>
              <w:t>涉及有</w:t>
            </w:r>
            <w:r>
              <w:rPr>
                <w:rFonts w:hint="eastAsia"/>
                <w:sz w:val="21"/>
                <w:szCs w:val="21"/>
                <w:lang w:val="en-US" w:eastAsia="zh-CN"/>
              </w:rPr>
              <w:t>噪声排放、废气粉尘处理、</w:t>
            </w:r>
            <w:r>
              <w:rPr>
                <w:rFonts w:hint="eastAsia"/>
                <w:sz w:val="21"/>
                <w:szCs w:val="21"/>
              </w:rPr>
              <w:t>固废处置、资源控制、火灾、相关方施加影响等。</w:t>
            </w:r>
            <w:r>
              <w:rPr>
                <w:rFonts w:hint="eastAsia"/>
                <w:sz w:val="21"/>
                <w:szCs w:val="21"/>
                <w:lang w:val="en-US" w:eastAsia="zh-CN"/>
              </w:rPr>
              <w:t>提供有固废处置记录、相关方告知书及发放记录、劳保用品发放记录。</w:t>
            </w:r>
            <w:r>
              <w:rPr>
                <w:rFonts w:hint="eastAsia"/>
                <w:sz w:val="21"/>
                <w:szCs w:val="21"/>
              </w:rPr>
              <w:t>现场查看办公区域干净整洁，</w:t>
            </w:r>
            <w:r>
              <w:rPr>
                <w:rFonts w:hint="eastAsia"/>
                <w:sz w:val="21"/>
                <w:szCs w:val="21"/>
                <w:lang w:val="en-US" w:eastAsia="zh-CN"/>
              </w:rPr>
              <w:t>无安全隐患</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681" w:type="dxa"/>
            <w:vMerge w:val="continue"/>
            <w:vAlign w:val="center"/>
          </w:tcPr>
          <w:p>
            <w:pPr>
              <w:spacing w:line="240" w:lineRule="exact"/>
              <w:jc w:val="center"/>
              <w:rPr>
                <w:b/>
                <w:szCs w:val="21"/>
              </w:rPr>
            </w:pPr>
          </w:p>
        </w:tc>
        <w:tc>
          <w:tcPr>
            <w:tcW w:w="9237" w:type="dxa"/>
            <w:vAlign w:val="top"/>
          </w:tcPr>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b/>
                <w:color w:val="000000" w:themeColor="text1"/>
                <w:sz w:val="20"/>
                <w:szCs w:val="20"/>
              </w:rPr>
            </w:pPr>
            <w:r>
              <w:rPr>
                <w:rFonts w:hint="eastAsia"/>
                <w:b/>
                <w:color w:val="000000" w:themeColor="text1"/>
                <w:sz w:val="20"/>
                <w:szCs w:val="20"/>
                <w:lang w:val="en-US" w:eastAsia="zh-CN"/>
              </w:rPr>
              <w:t>8.</w:t>
            </w:r>
            <w:r>
              <w:rPr>
                <w:rFonts w:hint="eastAsia"/>
                <w:b/>
                <w:color w:val="000000" w:themeColor="text1"/>
                <w:sz w:val="20"/>
                <w:szCs w:val="20"/>
              </w:rPr>
              <w:t>OHSMS组织对不可接受风险实施控制的结果</w:t>
            </w:r>
          </w:p>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ascii="Times New Roman" w:hAnsi="Times New Roman" w:eastAsia="宋体" w:cs="Times New Roman"/>
                <w:b/>
                <w:color w:val="000000" w:themeColor="text1"/>
                <w:kern w:val="2"/>
                <w:sz w:val="20"/>
                <w:szCs w:val="20"/>
                <w:lang w:val="en-US" w:eastAsia="zh-CN" w:bidi="ar-SA"/>
              </w:rPr>
            </w:pPr>
            <w:r>
              <w:rPr>
                <w:rFonts w:hint="eastAsia"/>
                <w:sz w:val="21"/>
                <w:szCs w:val="21"/>
                <w:lang w:val="en-GB"/>
              </w:rPr>
              <w:t>编制环境、职业健康安全运行控制程序，对相关方施加影响</w:t>
            </w:r>
            <w:r>
              <w:rPr>
                <w:rFonts w:hint="eastAsia"/>
                <w:sz w:val="21"/>
                <w:szCs w:val="21"/>
                <w:lang w:val="en-US" w:eastAsia="zh-CN"/>
              </w:rPr>
              <w:t>管理规定</w:t>
            </w:r>
            <w:r>
              <w:rPr>
                <w:rFonts w:hint="eastAsia"/>
                <w:sz w:val="21"/>
                <w:szCs w:val="21"/>
                <w:lang w:val="en-GB"/>
              </w:rPr>
              <w:t>、办公室安全管理制度</w:t>
            </w:r>
            <w:r>
              <w:rPr>
                <w:rFonts w:hint="eastAsia"/>
                <w:sz w:val="21"/>
                <w:szCs w:val="21"/>
                <w:lang w:val="en-GB" w:eastAsia="zh-CN"/>
              </w:rPr>
              <w:t>、</w:t>
            </w:r>
            <w:r>
              <w:rPr>
                <w:rFonts w:hint="eastAsia"/>
                <w:sz w:val="21"/>
                <w:szCs w:val="21"/>
                <w:lang w:val="en-GB"/>
              </w:rPr>
              <w:t>车辆管理规定</w:t>
            </w:r>
            <w:r>
              <w:rPr>
                <w:rFonts w:hint="eastAsia"/>
                <w:sz w:val="21"/>
                <w:szCs w:val="21"/>
                <w:lang w:val="en-GB" w:eastAsia="zh-CN"/>
              </w:rPr>
              <w:t>、</w:t>
            </w:r>
            <w:r>
              <w:rPr>
                <w:rFonts w:hint="eastAsia"/>
                <w:sz w:val="21"/>
                <w:szCs w:val="21"/>
                <w:lang w:val="en-GB"/>
              </w:rPr>
              <w:t>电脑使用管理办法</w:t>
            </w:r>
            <w:r>
              <w:rPr>
                <w:rFonts w:hint="eastAsia"/>
                <w:sz w:val="21"/>
                <w:szCs w:val="21"/>
                <w:lang w:val="en-GB" w:eastAsia="zh-CN"/>
              </w:rPr>
              <w:t>、</w:t>
            </w:r>
            <w:r>
              <w:rPr>
                <w:rFonts w:hint="eastAsia"/>
                <w:sz w:val="21"/>
                <w:szCs w:val="21"/>
                <w:lang w:val="en-GB"/>
              </w:rPr>
              <w:t>服务人员工作规范等，针对各部门所负责的工作，对危险源进行控制</w:t>
            </w:r>
            <w:r>
              <w:rPr>
                <w:rFonts w:hint="eastAsia"/>
                <w:sz w:val="21"/>
                <w:szCs w:val="21"/>
              </w:rPr>
              <w:t>涉及有</w:t>
            </w:r>
            <w:r>
              <w:rPr>
                <w:rFonts w:hint="eastAsia"/>
                <w:sz w:val="21"/>
                <w:szCs w:val="21"/>
                <w:lang w:val="en-US" w:eastAsia="zh-CN"/>
              </w:rPr>
              <w:t>废气粉尘伤害、噪声伤害、</w:t>
            </w:r>
            <w:r>
              <w:rPr>
                <w:rFonts w:hint="eastAsia"/>
                <w:sz w:val="21"/>
                <w:szCs w:val="21"/>
                <w:lang w:val="en-GB"/>
              </w:rPr>
              <w:t>火灾、触电、</w:t>
            </w:r>
            <w:r>
              <w:rPr>
                <w:rFonts w:hint="eastAsia"/>
                <w:sz w:val="21"/>
                <w:szCs w:val="21"/>
                <w:lang w:val="en-US" w:eastAsia="zh-CN"/>
              </w:rPr>
              <w:t>车辆</w:t>
            </w:r>
            <w:r>
              <w:rPr>
                <w:rFonts w:hint="eastAsia"/>
                <w:sz w:val="21"/>
                <w:szCs w:val="21"/>
                <w:lang w:val="en-GB"/>
              </w:rPr>
              <w:t>伤害</w:t>
            </w:r>
            <w:r>
              <w:rPr>
                <w:rFonts w:hint="eastAsia"/>
                <w:sz w:val="21"/>
                <w:szCs w:val="21"/>
              </w:rPr>
              <w:t>、相关方施加影响等进行控制，具体措施有对员工进行安全教育，发放劳保用品，对相关方进行告知，现场查看办公区域干净整洁，</w:t>
            </w:r>
            <w:r>
              <w:rPr>
                <w:rFonts w:hint="eastAsia"/>
                <w:sz w:val="21"/>
                <w:szCs w:val="21"/>
                <w:lang w:val="en-US" w:eastAsia="zh-CN"/>
              </w:rPr>
              <w:t>无安全隐患</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681" w:type="dxa"/>
            <w:vMerge w:val="continue"/>
            <w:vAlign w:val="center"/>
          </w:tcPr>
          <w:p>
            <w:pPr>
              <w:spacing w:line="240" w:lineRule="exact"/>
              <w:jc w:val="center"/>
              <w:rPr>
                <w:b/>
                <w:szCs w:val="21"/>
              </w:rPr>
            </w:pP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ind w:left="201" w:hanging="201" w:hangingChars="100"/>
              <w:textAlignment w:val="auto"/>
              <w:rPr>
                <w:b/>
                <w:color w:val="000000" w:themeColor="text1"/>
                <w:sz w:val="20"/>
                <w:szCs w:val="20"/>
              </w:rPr>
            </w:pPr>
            <w:r>
              <w:rPr>
                <w:rFonts w:hint="eastAsia"/>
                <w:b/>
                <w:color w:val="000000" w:themeColor="text1"/>
                <w:sz w:val="20"/>
                <w:szCs w:val="20"/>
                <w:lang w:val="en-US" w:eastAsia="zh-CN"/>
              </w:rPr>
              <w:t>9.</w:t>
            </w:r>
            <w:r>
              <w:rPr>
                <w:rFonts w:hint="eastAsia"/>
                <w:b/>
                <w:color w:val="000000" w:themeColor="text1"/>
                <w:sz w:val="20"/>
                <w:szCs w:val="20"/>
              </w:rPr>
              <w:t xml:space="preserve">应急准备与相应活动的演练及对预案可行性的评价(当有规定时) </w:t>
            </w:r>
          </w:p>
          <w:p>
            <w:pPr>
              <w:keepNext w:val="0"/>
              <w:keepLines w:val="0"/>
              <w:pageBreakBefore w:val="0"/>
              <w:kinsoku/>
              <w:wordWrap/>
              <w:overflowPunct/>
              <w:topLinePunct w:val="0"/>
              <w:autoSpaceDE/>
              <w:autoSpaceDN/>
              <w:bidi w:val="0"/>
              <w:adjustRightInd/>
              <w:snapToGrid/>
              <w:spacing w:line="400" w:lineRule="exact"/>
              <w:textAlignment w:val="auto"/>
              <w:rPr>
                <w:rFonts w:ascii="Times New Roman" w:hAnsi="Times New Roman" w:eastAsia="宋体" w:cs="Times New Roman"/>
                <w:b/>
                <w:color w:val="000000" w:themeColor="text1"/>
                <w:spacing w:val="-4"/>
                <w:kern w:val="2"/>
                <w:sz w:val="20"/>
                <w:szCs w:val="20"/>
                <w:lang w:val="en-US" w:eastAsia="zh-CN" w:bidi="ar-SA"/>
              </w:rPr>
            </w:pPr>
            <w:r>
              <w:rPr>
                <w:rFonts w:hint="eastAsia"/>
                <w:sz w:val="21"/>
                <w:szCs w:val="21"/>
                <w:lang w:val="en-GB"/>
              </w:rPr>
              <w:t>编制应急准备和响应控制程序，识别的潜在意外紧急情况为火灾、触电</w:t>
            </w:r>
            <w:r>
              <w:rPr>
                <w:rFonts w:hint="eastAsia"/>
                <w:sz w:val="21"/>
                <w:szCs w:val="21"/>
                <w:lang w:val="en-GB" w:eastAsia="zh-CN"/>
              </w:rPr>
              <w:t>、</w:t>
            </w:r>
            <w:r>
              <w:rPr>
                <w:rFonts w:hint="eastAsia"/>
                <w:sz w:val="21"/>
                <w:szCs w:val="21"/>
                <w:lang w:val="en-US" w:eastAsia="zh-CN"/>
              </w:rPr>
              <w:t>机械伤害</w:t>
            </w:r>
            <w:r>
              <w:rPr>
                <w:rFonts w:hint="eastAsia"/>
                <w:sz w:val="21"/>
                <w:szCs w:val="21"/>
                <w:lang w:val="en-GB"/>
              </w:rPr>
              <w:t>等。编制了应急预案，组织了消防演练</w:t>
            </w:r>
            <w:r>
              <w:rPr>
                <w:rFonts w:hint="eastAsia"/>
                <w:sz w:val="21"/>
                <w:szCs w:val="21"/>
                <w:lang w:val="en-GB" w:eastAsia="zh-CN"/>
              </w:rPr>
              <w:t>、</w:t>
            </w:r>
            <w:r>
              <w:rPr>
                <w:rFonts w:hint="eastAsia"/>
                <w:sz w:val="21"/>
                <w:szCs w:val="21"/>
                <w:lang w:val="en-US" w:eastAsia="zh-CN"/>
              </w:rPr>
              <w:t>机械伤害演练</w:t>
            </w:r>
            <w:r>
              <w:rPr>
                <w:rFonts w:hint="eastAsia"/>
                <w:sz w:val="21"/>
                <w:szCs w:val="21"/>
                <w:lang w:val="en-GB"/>
              </w:rPr>
              <w:t>，提供了应急预案演练记录。对应急预案进行了评价，可行。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681" w:type="dxa"/>
            <w:vMerge w:val="continue"/>
            <w:vAlign w:val="center"/>
          </w:tcPr>
          <w:p>
            <w:pPr>
              <w:spacing w:line="240" w:lineRule="exact"/>
              <w:jc w:val="center"/>
              <w:rPr>
                <w:b/>
                <w:szCs w:val="21"/>
              </w:rPr>
            </w:pP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textAlignment w:val="auto"/>
              <w:rPr>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xml:space="preserve">对特种设备的维护，检定; </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color w:val="000000" w:themeColor="text1"/>
                <w:kern w:val="2"/>
                <w:sz w:val="20"/>
                <w:szCs w:val="20"/>
                <w:lang w:val="en-US" w:eastAsia="zh-CN" w:bidi="ar-SA"/>
              </w:rPr>
            </w:pPr>
            <w:r>
              <w:rPr>
                <w:rFonts w:hint="eastAsia"/>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681" w:type="dxa"/>
            <w:vMerge w:val="continue"/>
            <w:vAlign w:val="center"/>
          </w:tcPr>
          <w:p>
            <w:pPr>
              <w:spacing w:line="240" w:lineRule="exact"/>
              <w:jc w:val="center"/>
              <w:rPr>
                <w:b/>
                <w:szCs w:val="21"/>
              </w:rPr>
            </w:pP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eastAsia"/>
                <w:b/>
                <w:color w:val="000000" w:themeColor="text1"/>
                <w:sz w:val="20"/>
                <w:szCs w:val="20"/>
              </w:rPr>
            </w:pPr>
            <w:r>
              <w:rPr>
                <w:rFonts w:hint="eastAsia"/>
                <w:b/>
                <w:color w:val="000000" w:themeColor="text1"/>
                <w:sz w:val="20"/>
                <w:szCs w:val="20"/>
                <w:lang w:val="en-US" w:eastAsia="zh-CN"/>
              </w:rPr>
              <w:t>11.</w:t>
            </w:r>
            <w:r>
              <w:rPr>
                <w:rFonts w:hint="eastAsia"/>
                <w:b/>
                <w:color w:val="000000" w:themeColor="text1"/>
                <w:sz w:val="20"/>
                <w:szCs w:val="20"/>
              </w:rPr>
              <w:t>对危险化学品销售、使用、储存、运输处置，规定的执行力度(必要时);</w:t>
            </w:r>
          </w:p>
          <w:p>
            <w:pPr>
              <w:keepNext w:val="0"/>
              <w:keepLines w:val="0"/>
              <w:pageBreakBefore w:val="0"/>
              <w:kinsoku/>
              <w:wordWrap/>
              <w:overflowPunct/>
              <w:topLinePunct w:val="0"/>
              <w:autoSpaceDE/>
              <w:autoSpaceDN/>
              <w:bidi w:val="0"/>
              <w:adjustRightInd/>
              <w:snapToGrid/>
              <w:spacing w:line="400" w:lineRule="exact"/>
              <w:textAlignment w:val="auto"/>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681"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ind w:left="100" w:hanging="100" w:hangingChars="50"/>
              <w:textAlignment w:val="auto"/>
              <w:rPr>
                <w:b/>
                <w:color w:val="000000" w:themeColor="text1"/>
                <w:sz w:val="20"/>
                <w:szCs w:val="20"/>
              </w:rPr>
            </w:pPr>
            <w:r>
              <w:rPr>
                <w:rFonts w:hint="eastAsia"/>
                <w:b/>
                <w:color w:val="000000" w:themeColor="text1"/>
                <w:sz w:val="20"/>
                <w:szCs w:val="20"/>
              </w:rPr>
              <w:t>1. .对质量/环境/职业健康安全目标指标进行定期监测/检查情况</w:t>
            </w:r>
          </w:p>
          <w:p>
            <w:pPr>
              <w:keepNext w:val="0"/>
              <w:keepLines w:val="0"/>
              <w:pageBreakBefore w:val="0"/>
              <w:kinsoku/>
              <w:wordWrap/>
              <w:overflowPunct/>
              <w:topLinePunct w:val="0"/>
              <w:autoSpaceDE/>
              <w:autoSpaceDN/>
              <w:bidi w:val="0"/>
              <w:adjustRightInd/>
              <w:snapToGrid/>
              <w:spacing w:line="400" w:lineRule="exact"/>
              <w:textAlignment w:val="auto"/>
              <w:rPr>
                <w:rFonts w:ascii="Times New Roman" w:hAnsi="Times New Roman" w:eastAsia="宋体" w:cs="Times New Roman"/>
                <w:b/>
                <w:color w:val="000000" w:themeColor="text1"/>
                <w:kern w:val="2"/>
                <w:sz w:val="20"/>
                <w:szCs w:val="20"/>
                <w:lang w:val="en-US" w:eastAsia="zh-CN" w:bidi="ar-SA"/>
              </w:rPr>
            </w:pPr>
            <w:r>
              <w:rPr>
                <w:rFonts w:hint="eastAsia"/>
                <w:sz w:val="21"/>
                <w:szCs w:val="21"/>
              </w:rPr>
              <w:t>提供了文件化可分解的目标、指标，经查问分解到各部门，经查阅建立的管理目标符合标准要求，在方针的框架下展开，每季度考核一次，查看20</w:t>
            </w:r>
            <w:r>
              <w:rPr>
                <w:rFonts w:hint="eastAsia"/>
                <w:sz w:val="21"/>
                <w:szCs w:val="21"/>
                <w:lang w:val="en-US" w:eastAsia="zh-CN"/>
              </w:rPr>
              <w:t>20</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0" w:hRule="atLeast"/>
          <w:jc w:val="center"/>
        </w:trPr>
        <w:tc>
          <w:tcPr>
            <w:tcW w:w="681" w:type="dxa"/>
            <w:vMerge w:val="continue"/>
            <w:textDirection w:val="tbRlV"/>
            <w:vAlign w:val="center"/>
          </w:tcPr>
          <w:p>
            <w:pPr>
              <w:spacing w:line="240" w:lineRule="exact"/>
              <w:ind w:left="113" w:right="113"/>
              <w:jc w:val="center"/>
              <w:rPr>
                <w:b/>
                <w:szCs w:val="21"/>
              </w:rPr>
            </w:pPr>
          </w:p>
        </w:tc>
        <w:tc>
          <w:tcPr>
            <w:tcW w:w="9237" w:type="dxa"/>
            <w:vAlign w:val="top"/>
          </w:tcPr>
          <w:p>
            <w:pPr>
              <w:keepNext w:val="0"/>
              <w:keepLines w:val="0"/>
              <w:pageBreakBefore w:val="0"/>
              <w:numPr>
                <w:ilvl w:val="0"/>
                <w:numId w:val="4"/>
              </w:numPr>
              <w:kinsoku/>
              <w:wordWrap/>
              <w:overflowPunct/>
              <w:topLinePunct w:val="0"/>
              <w:autoSpaceDE/>
              <w:autoSpaceDN/>
              <w:bidi w:val="0"/>
              <w:adjustRightInd/>
              <w:snapToGrid/>
              <w:spacing w:line="400" w:lineRule="exact"/>
              <w:ind w:left="100" w:hanging="100" w:hangingChars="50"/>
              <w:textAlignment w:val="auto"/>
              <w:rPr>
                <w:rFonts w:hint="eastAsia"/>
                <w:b/>
                <w:color w:val="000000" w:themeColor="text1"/>
                <w:sz w:val="20"/>
                <w:szCs w:val="20"/>
              </w:rPr>
            </w:pPr>
            <w:r>
              <w:rPr>
                <w:rFonts w:hint="eastAsia"/>
                <w:b/>
                <w:color w:val="000000" w:themeColor="text1"/>
                <w:sz w:val="20"/>
                <w:szCs w:val="20"/>
              </w:rPr>
              <w:t>顾客满意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color w:val="000000" w:themeColor="text1"/>
                <w:kern w:val="2"/>
                <w:sz w:val="20"/>
                <w:szCs w:val="20"/>
                <w:lang w:val="en-US" w:eastAsia="zh-CN" w:bidi="ar-SA"/>
              </w:rPr>
            </w:pPr>
            <w:r>
              <w:rPr>
                <w:rFonts w:hint="eastAsia" w:ascii="Times New Roman" w:hAnsi="Times New Roman" w:cs="Times New Roman"/>
                <w:sz w:val="21"/>
                <w:szCs w:val="21"/>
                <w:lang w:val="zh-CN"/>
              </w:rPr>
              <w:t>公司通过电话，走访等形式，接受顾客反馈，了解顾客顾客满意度信息，发放调查表对顾客满意度进行定量测量。提供“顾客满意程度调查表”，调查主要内容：</w:t>
            </w:r>
            <w:r>
              <w:rPr>
                <w:rFonts w:hint="eastAsia" w:ascii="Times New Roman" w:hAnsi="Times New Roman" w:cs="Times New Roman"/>
                <w:sz w:val="21"/>
                <w:szCs w:val="21"/>
              </w:rPr>
              <w:t>质量、价格、外观、服务等方面的满意程度</w:t>
            </w:r>
            <w:r>
              <w:rPr>
                <w:rFonts w:hint="eastAsia" w:ascii="Times New Roman" w:hAnsi="Times New Roman" w:cs="Times New Roman"/>
                <w:sz w:val="21"/>
                <w:szCs w:val="21"/>
                <w:lang w:val="zh-CN"/>
              </w:rPr>
              <w:t>等，</w:t>
            </w:r>
            <w:r>
              <w:rPr>
                <w:rFonts w:hint="eastAsia" w:ascii="Times New Roman" w:hAnsi="Times New Roman" w:cs="Times New Roman"/>
                <w:sz w:val="21"/>
                <w:szCs w:val="21"/>
              </w:rPr>
              <w:t>各项得分求平均值得最终结果</w:t>
            </w:r>
            <w:r>
              <w:rPr>
                <w:rFonts w:hint="eastAsia" w:ascii="Times New Roman" w:hAnsi="Times New Roman" w:cs="Times New Roman"/>
                <w:sz w:val="21"/>
                <w:szCs w:val="21"/>
                <w:lang w:val="zh-CN"/>
              </w:rPr>
              <w:t>。</w:t>
            </w:r>
            <w:r>
              <w:rPr>
                <w:rFonts w:hint="eastAsia" w:ascii="Times New Roman" w:hAnsi="Times New Roman" w:cs="Times New Roman"/>
                <w:sz w:val="21"/>
                <w:szCs w:val="21"/>
              </w:rPr>
              <w:t>提供顾客满意调查分析。最终顾客满意率</w:t>
            </w:r>
            <w:r>
              <w:rPr>
                <w:rFonts w:hint="eastAsia" w:cs="Times New Roman"/>
                <w:sz w:val="21"/>
                <w:szCs w:val="21"/>
                <w:lang w:val="en-US" w:eastAsia="zh-CN"/>
              </w:rPr>
              <w:t>100</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该结果已提交管理评审</w:t>
            </w:r>
            <w:r>
              <w:rPr>
                <w:rFonts w:hint="eastAsia"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681" w:type="dxa"/>
            <w:vMerge w:val="continue"/>
            <w:textDirection w:val="tbRlV"/>
            <w:vAlign w:val="center"/>
          </w:tcPr>
          <w:p>
            <w:pPr>
              <w:spacing w:line="240" w:lineRule="exact"/>
              <w:ind w:left="113" w:right="113"/>
              <w:jc w:val="center"/>
              <w:rPr>
                <w:b/>
                <w:szCs w:val="21"/>
              </w:rPr>
            </w:pP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textAlignment w:val="auto"/>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keepNext w:val="0"/>
              <w:keepLines w:val="0"/>
              <w:pageBreakBefore w:val="0"/>
              <w:kinsoku/>
              <w:wordWrap/>
              <w:overflowPunct/>
              <w:topLinePunct w:val="0"/>
              <w:autoSpaceDE/>
              <w:autoSpaceDN/>
              <w:bidi w:val="0"/>
              <w:adjustRightInd/>
              <w:snapToGrid/>
              <w:spacing w:line="400" w:lineRule="exact"/>
              <w:textAlignment w:val="auto"/>
              <w:rPr>
                <w:rFonts w:ascii="Times New Roman" w:hAnsi="Times New Roman" w:eastAsia="宋体" w:cs="Times New Roman"/>
                <w:b/>
                <w:color w:val="000000" w:themeColor="text1"/>
                <w:kern w:val="2"/>
                <w:sz w:val="20"/>
                <w:szCs w:val="20"/>
                <w:lang w:val="en-US" w:eastAsia="zh-CN" w:bidi="ar-SA"/>
              </w:rPr>
            </w:pPr>
            <w:r>
              <w:rPr>
                <w:rFonts w:hint="eastAsia"/>
                <w:sz w:val="21"/>
                <w:szCs w:val="21"/>
              </w:rPr>
              <w:t>按照策划的安排于</w:t>
            </w:r>
            <w:r>
              <w:rPr>
                <w:sz w:val="21"/>
                <w:szCs w:val="21"/>
              </w:rPr>
              <w:t>20</w:t>
            </w:r>
            <w:r>
              <w:rPr>
                <w:rFonts w:hint="eastAsia"/>
                <w:sz w:val="21"/>
                <w:szCs w:val="21"/>
                <w:lang w:val="en-US" w:eastAsia="zh-CN"/>
              </w:rPr>
              <w:t>20年8月17-18日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2</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681" w:type="dxa"/>
            <w:vMerge w:val="continue"/>
            <w:textDirection w:val="tbRlV"/>
            <w:vAlign w:val="center"/>
          </w:tcPr>
          <w:p>
            <w:pPr>
              <w:spacing w:line="240" w:lineRule="exact"/>
              <w:ind w:left="113" w:right="113"/>
              <w:jc w:val="center"/>
              <w:rPr>
                <w:b/>
                <w:szCs w:val="21"/>
              </w:rPr>
            </w:pP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textAlignment w:val="auto"/>
              <w:rPr>
                <w:b/>
                <w:color w:val="000000" w:themeColor="text1"/>
                <w:sz w:val="20"/>
                <w:szCs w:val="20"/>
              </w:rPr>
            </w:pPr>
            <w:r>
              <w:rPr>
                <w:rFonts w:hint="eastAsia"/>
                <w:b/>
                <w:color w:val="000000" w:themeColor="text1"/>
                <w:sz w:val="20"/>
                <w:szCs w:val="20"/>
              </w:rPr>
              <w:t>4.管理评审（管理评审体系变更需求，纠正和预防措施、体系有效性等）</w:t>
            </w:r>
          </w:p>
          <w:p>
            <w:pPr>
              <w:keepNext w:val="0"/>
              <w:keepLines w:val="0"/>
              <w:pageBreakBefore w:val="0"/>
              <w:kinsoku/>
              <w:wordWrap/>
              <w:overflowPunct/>
              <w:topLinePunct w:val="0"/>
              <w:autoSpaceDE/>
              <w:autoSpaceDN/>
              <w:bidi w:val="0"/>
              <w:adjustRightInd/>
              <w:snapToGrid/>
              <w:spacing w:line="400" w:lineRule="exact"/>
              <w:textAlignment w:val="auto"/>
              <w:rPr>
                <w:rFonts w:ascii="Times New Roman" w:hAnsi="Times New Roman" w:eastAsia="宋体" w:cs="Times New Roman"/>
                <w:b/>
                <w:color w:val="000000" w:themeColor="text1"/>
                <w:kern w:val="2"/>
                <w:sz w:val="20"/>
                <w:szCs w:val="20"/>
                <w:lang w:val="en-US" w:eastAsia="zh-CN" w:bidi="ar-SA"/>
              </w:rPr>
            </w:pPr>
            <w:r>
              <w:rPr>
                <w:rFonts w:hint="eastAsia"/>
                <w:sz w:val="21"/>
                <w:szCs w:val="21"/>
              </w:rPr>
              <w:t>按照策划的安排于</w:t>
            </w:r>
            <w:r>
              <w:rPr>
                <w:sz w:val="21"/>
                <w:szCs w:val="21"/>
              </w:rPr>
              <w:t>20</w:t>
            </w:r>
            <w:r>
              <w:rPr>
                <w:rFonts w:hint="eastAsia"/>
                <w:sz w:val="21"/>
                <w:szCs w:val="21"/>
                <w:lang w:val="en-US" w:eastAsia="zh-CN"/>
              </w:rPr>
              <w:t>20</w:t>
            </w:r>
            <w:r>
              <w:rPr>
                <w:rFonts w:hint="eastAsia" w:cs="宋体"/>
                <w:sz w:val="21"/>
                <w:szCs w:val="21"/>
              </w:rPr>
              <w:t>年</w:t>
            </w:r>
            <w:r>
              <w:rPr>
                <w:rFonts w:hint="eastAsia" w:cs="宋体"/>
                <w:sz w:val="21"/>
                <w:szCs w:val="21"/>
                <w:lang w:val="en-US" w:eastAsia="zh-CN"/>
              </w:rPr>
              <w:t>8</w:t>
            </w:r>
            <w:r>
              <w:rPr>
                <w:rFonts w:hint="eastAsia" w:cs="宋体"/>
                <w:sz w:val="21"/>
                <w:szCs w:val="21"/>
              </w:rPr>
              <w:t>月</w:t>
            </w:r>
            <w:r>
              <w:rPr>
                <w:rFonts w:hint="eastAsia" w:cs="宋体"/>
                <w:sz w:val="21"/>
                <w:szCs w:val="21"/>
                <w:lang w:val="en-US" w:eastAsia="zh-CN"/>
              </w:rPr>
              <w:t>23</w:t>
            </w:r>
            <w:r>
              <w:rPr>
                <w:rFonts w:hint="eastAsia" w:cs="宋体"/>
                <w:sz w:val="21"/>
                <w:szCs w:val="21"/>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2" w:hRule="atLeast"/>
          <w:jc w:val="center"/>
        </w:trPr>
        <w:tc>
          <w:tcPr>
            <w:tcW w:w="681" w:type="dxa"/>
            <w:vMerge w:val="continue"/>
            <w:vAlign w:val="center"/>
          </w:tcPr>
          <w:p>
            <w:pPr>
              <w:spacing w:line="240" w:lineRule="exact"/>
              <w:jc w:val="center"/>
              <w:rPr>
                <w:b/>
                <w:sz w:val="20"/>
              </w:rPr>
            </w:pPr>
          </w:p>
        </w:tc>
        <w:tc>
          <w:tcPr>
            <w:tcW w:w="9237" w:type="dxa"/>
            <w:vAlign w:val="top"/>
          </w:tcPr>
          <w:p>
            <w:pPr>
              <w:keepNext w:val="0"/>
              <w:keepLines w:val="0"/>
              <w:pageBreakBefore w:val="0"/>
              <w:numPr>
                <w:ilvl w:val="0"/>
                <w:numId w:val="5"/>
              </w:numPr>
              <w:kinsoku/>
              <w:wordWrap/>
              <w:overflowPunct/>
              <w:topLinePunct w:val="0"/>
              <w:autoSpaceDE/>
              <w:autoSpaceDN/>
              <w:bidi w:val="0"/>
              <w:adjustRightInd/>
              <w:snapToGrid/>
              <w:spacing w:line="400" w:lineRule="exact"/>
              <w:textAlignment w:val="auto"/>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宋体" w:cs="Times New Roman"/>
                <w:b/>
                <w:color w:val="000000" w:themeColor="text1"/>
                <w:kern w:val="2"/>
                <w:sz w:val="20"/>
                <w:szCs w:val="20"/>
                <w:lang w:val="en-US" w:eastAsia="zh-CN" w:bidi="ar-SA"/>
              </w:rPr>
            </w:pPr>
            <w:r>
              <w:rPr>
                <w:rFonts w:hint="eastAsia"/>
                <w:b w:val="0"/>
                <w:bCs/>
                <w:color w:val="000000" w:themeColor="text1"/>
                <w:sz w:val="20"/>
                <w:szCs w:val="20"/>
                <w:lang w:val="en-US" w:eastAsia="zh-CN"/>
              </w:rPr>
              <w:t>对粉尘、噪声进行了监测，提供了衡水市环境监测站出具的监测报告，报告编号：</w:t>
            </w:r>
            <w:r>
              <w:rPr>
                <w:rFonts w:hint="eastAsia"/>
                <w:sz w:val="21"/>
                <w:szCs w:val="21"/>
                <w:lang w:val="en-US" w:eastAsia="zh-CN"/>
              </w:rPr>
              <w:t>衡环证测字【2020】第141号</w:t>
            </w:r>
            <w:r>
              <w:rPr>
                <w:rFonts w:hint="eastAsia"/>
                <w:b w:val="0"/>
                <w:bCs/>
                <w:color w:val="000000" w:themeColor="text1"/>
                <w:sz w:val="20"/>
                <w:szCs w:val="20"/>
                <w:lang w:val="en-US" w:eastAsia="zh-CN"/>
              </w:rPr>
              <w:t>，报告日期2020.6.2，显示符合要求。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681" w:type="dxa"/>
            <w:vMerge w:val="continue"/>
            <w:vAlign w:val="center"/>
          </w:tcPr>
          <w:p>
            <w:pPr>
              <w:spacing w:line="240" w:lineRule="exact"/>
              <w:jc w:val="center"/>
              <w:rPr>
                <w:b/>
                <w:sz w:val="20"/>
              </w:rPr>
            </w:pP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textAlignment w:val="auto"/>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color w:val="000000" w:themeColor="text1"/>
                <w:kern w:val="2"/>
                <w:sz w:val="20"/>
                <w:szCs w:val="20"/>
                <w:lang w:val="en-US" w:eastAsia="zh-CN" w:bidi="ar-SA"/>
              </w:rPr>
            </w:pPr>
            <w:r>
              <w:rPr>
                <w:rFonts w:hint="eastAsia"/>
                <w:sz w:val="21"/>
                <w:szCs w:val="21"/>
              </w:rPr>
              <w:t>提供环境影响</w:t>
            </w:r>
            <w:r>
              <w:rPr>
                <w:rFonts w:hint="eastAsia"/>
                <w:sz w:val="21"/>
                <w:szCs w:val="21"/>
                <w:lang w:val="en-US" w:eastAsia="zh-CN"/>
              </w:rPr>
              <w:t>报告表</w:t>
            </w:r>
            <w:r>
              <w:rPr>
                <w:rFonts w:hint="eastAsia"/>
                <w:sz w:val="21"/>
                <w:szCs w:val="21"/>
                <w:lang w:eastAsia="zh-CN"/>
              </w:rPr>
              <w:t>、</w:t>
            </w:r>
            <w:r>
              <w:rPr>
                <w:rFonts w:hint="eastAsia"/>
                <w:sz w:val="21"/>
                <w:szCs w:val="21"/>
                <w:lang w:val="en-US" w:eastAsia="zh-CN"/>
              </w:rPr>
              <w:t>验收报告、验收批复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681" w:type="dxa"/>
            <w:vMerge w:val="continue"/>
            <w:vAlign w:val="center"/>
          </w:tcPr>
          <w:p>
            <w:pPr>
              <w:spacing w:line="240" w:lineRule="exact"/>
              <w:jc w:val="center"/>
              <w:rPr>
                <w:b/>
                <w:sz w:val="20"/>
              </w:rPr>
            </w:pP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textAlignment w:val="auto"/>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keepNext w:val="0"/>
              <w:keepLines w:val="0"/>
              <w:pageBreakBefore w:val="0"/>
              <w:kinsoku/>
              <w:wordWrap/>
              <w:overflowPunct/>
              <w:topLinePunct w:val="0"/>
              <w:autoSpaceDE/>
              <w:autoSpaceDN/>
              <w:bidi w:val="0"/>
              <w:adjustRightInd/>
              <w:snapToGrid/>
              <w:spacing w:line="400" w:lineRule="exact"/>
              <w:textAlignment w:val="auto"/>
              <w:rPr>
                <w:rFonts w:ascii="Times New Roman" w:hAnsi="Times New Roman" w:eastAsia="宋体" w:cs="Times New Roman"/>
                <w:b/>
                <w:color w:val="000000" w:themeColor="text1"/>
                <w:kern w:val="2"/>
                <w:sz w:val="20"/>
                <w:szCs w:val="20"/>
                <w:lang w:val="en-US" w:eastAsia="zh-CN" w:bidi="ar-SA"/>
              </w:rPr>
            </w:pPr>
            <w:r>
              <w:rPr>
                <w:rFonts w:hint="eastAsia"/>
                <w:sz w:val="21"/>
                <w:szCs w:val="21"/>
                <w:lang w:val="en-US" w:eastAsia="zh-CN"/>
              </w:rPr>
              <w:t>对</w:t>
            </w:r>
            <w:r>
              <w:rPr>
                <w:rFonts w:hint="eastAsia"/>
                <w:sz w:val="21"/>
                <w:szCs w:val="21"/>
                <w:lang w:eastAsia="zh-CN"/>
              </w:rPr>
              <w:t>员工进行体检，提供“</w:t>
            </w:r>
            <w:r>
              <w:rPr>
                <w:rFonts w:hint="eastAsia"/>
                <w:sz w:val="21"/>
                <w:szCs w:val="21"/>
                <w:lang w:val="en-US" w:eastAsia="zh-CN"/>
              </w:rPr>
              <w:t>体检报告</w:t>
            </w:r>
            <w:r>
              <w:rPr>
                <w:rFonts w:hint="eastAsia"/>
                <w:sz w:val="21"/>
                <w:szCs w:val="21"/>
                <w:lang w:eastAsia="zh-CN"/>
              </w:rPr>
              <w:t>”，</w:t>
            </w:r>
            <w:r>
              <w:rPr>
                <w:rFonts w:hint="eastAsia"/>
                <w:sz w:val="21"/>
                <w:szCs w:val="21"/>
                <w:lang w:val="en-US" w:eastAsia="zh-CN"/>
              </w:rPr>
              <w:t>体检单位：衡水市医院，体检日期：2020年1月5日，</w:t>
            </w:r>
            <w:r>
              <w:rPr>
                <w:rFonts w:hint="eastAsia"/>
                <w:sz w:val="21"/>
                <w:szCs w:val="21"/>
                <w:lang w:eastAsia="zh-CN"/>
              </w:rPr>
              <w:t>结论：未见异常</w:t>
            </w:r>
            <w:r>
              <w:rPr>
                <w:rFonts w:hint="eastAsia"/>
                <w:b w:val="0"/>
                <w:bCs/>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681" w:type="dxa"/>
            <w:vMerge w:val="continue"/>
            <w:vAlign w:val="center"/>
          </w:tcPr>
          <w:p>
            <w:pPr>
              <w:spacing w:line="240" w:lineRule="exact"/>
              <w:jc w:val="center"/>
              <w:rPr>
                <w:b/>
                <w:sz w:val="20"/>
              </w:rPr>
            </w:pPr>
          </w:p>
        </w:tc>
        <w:tc>
          <w:tcPr>
            <w:tcW w:w="9237" w:type="dxa"/>
            <w:vAlign w:val="top"/>
          </w:tcPr>
          <w:p>
            <w:pPr>
              <w:keepNext w:val="0"/>
              <w:keepLines w:val="0"/>
              <w:pageBreakBefore w:val="0"/>
              <w:kinsoku/>
              <w:wordWrap/>
              <w:overflowPunct/>
              <w:topLinePunct w:val="0"/>
              <w:autoSpaceDE/>
              <w:autoSpaceDN/>
              <w:bidi w:val="0"/>
              <w:adjustRightInd/>
              <w:snapToGrid/>
              <w:spacing w:line="400" w:lineRule="exact"/>
              <w:textAlignment w:val="auto"/>
              <w:rPr>
                <w:b/>
                <w:color w:val="000000" w:themeColor="text1"/>
                <w:sz w:val="20"/>
                <w:szCs w:val="20"/>
              </w:rPr>
            </w:pPr>
            <w:r>
              <w:rPr>
                <w:rFonts w:hint="eastAsia"/>
                <w:b/>
                <w:color w:val="000000" w:themeColor="text1"/>
                <w:sz w:val="20"/>
                <w:szCs w:val="20"/>
              </w:rPr>
              <w:t>8.OHSMS国家/地方职业健康安全部门监督检查情况及措施</w:t>
            </w:r>
          </w:p>
          <w:p>
            <w:pPr>
              <w:keepNext w:val="0"/>
              <w:keepLines w:val="0"/>
              <w:pageBreakBefore w:val="0"/>
              <w:kinsoku/>
              <w:wordWrap/>
              <w:overflowPunct/>
              <w:topLinePunct w:val="0"/>
              <w:autoSpaceDE/>
              <w:autoSpaceDN/>
              <w:bidi w:val="0"/>
              <w:adjustRightInd/>
              <w:snapToGrid/>
              <w:spacing w:line="400" w:lineRule="exact"/>
              <w:textAlignment w:val="auto"/>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681" w:type="dxa"/>
            <w:vMerge w:val="continue"/>
            <w:vAlign w:val="center"/>
          </w:tcPr>
          <w:p>
            <w:pPr>
              <w:spacing w:line="240" w:lineRule="exact"/>
              <w:jc w:val="center"/>
              <w:rPr>
                <w:b/>
                <w:sz w:val="20"/>
              </w:rPr>
            </w:pPr>
          </w:p>
        </w:tc>
        <w:tc>
          <w:tcPr>
            <w:tcW w:w="9237" w:type="dxa"/>
            <w:vAlign w:val="top"/>
          </w:tcPr>
          <w:p>
            <w:pPr>
              <w:keepNext w:val="0"/>
              <w:keepLines w:val="0"/>
              <w:pageBreakBefore w:val="0"/>
              <w:widowControl/>
              <w:numPr>
                <w:ilvl w:val="0"/>
                <w:numId w:val="6"/>
              </w:numPr>
              <w:kinsoku/>
              <w:wordWrap/>
              <w:overflowPunct/>
              <w:topLinePunct w:val="0"/>
              <w:autoSpaceDE/>
              <w:autoSpaceDN/>
              <w:bidi w:val="0"/>
              <w:adjustRightInd/>
              <w:snapToGrid/>
              <w:spacing w:line="400" w:lineRule="exact"/>
              <w:textAlignment w:val="auto"/>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其他能够标明组织绩效、信誉的证据/信息：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681" w:type="dxa"/>
            <w:vMerge w:val="restart"/>
            <w:vAlign w:val="center"/>
          </w:tcPr>
          <w:p>
            <w:pPr>
              <w:spacing w:line="240" w:lineRule="exact"/>
              <w:ind w:left="113" w:right="113"/>
              <w:jc w:val="center"/>
              <w:rPr>
                <w:rFonts w:hint="eastAsia" w:ascii="宋体" w:hAnsi="宋体"/>
                <w:b/>
                <w:szCs w:val="21"/>
                <w:lang w:val="en-US" w:eastAsia="zh-CN"/>
              </w:rPr>
            </w:pPr>
            <w:r>
              <w:rPr>
                <w:rFonts w:hint="eastAsia" w:ascii="宋体" w:hAnsi="宋体"/>
                <w:b/>
                <w:szCs w:val="21"/>
                <w:lang w:val="en-US" w:eastAsia="zh-CN"/>
              </w:rPr>
              <w:t>五</w:t>
            </w:r>
          </w:p>
          <w:p>
            <w:pPr>
              <w:spacing w:line="240" w:lineRule="exact"/>
              <w:ind w:left="113" w:right="113"/>
              <w:jc w:val="center"/>
              <w:rPr>
                <w:rFonts w:hint="eastAsia" w:ascii="宋体" w:hAnsi="宋体"/>
                <w:b/>
                <w:szCs w:val="21"/>
                <w:lang w:val="en-US" w:eastAsia="zh-CN"/>
              </w:rPr>
            </w:pPr>
          </w:p>
          <w:p>
            <w:pPr>
              <w:spacing w:line="240" w:lineRule="exact"/>
              <w:ind w:left="113" w:right="113"/>
              <w:jc w:val="center"/>
              <w:rPr>
                <w:rFonts w:ascii="宋体" w:hAnsi="宋体"/>
                <w:b/>
                <w:szCs w:val="21"/>
              </w:rPr>
            </w:pPr>
            <w:r>
              <w:rPr>
                <w:rFonts w:hint="eastAsia" w:ascii="宋体" w:hAnsi="宋体"/>
                <w:b/>
                <w:szCs w:val="21"/>
              </w:rPr>
              <w:t>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237" w:type="dxa"/>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b/>
                <w:sz w:val="21"/>
                <w:szCs w:val="21"/>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及改进要求，进行原因分析，制定了具体措施，目前正在实施中。</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681" w:type="dxa"/>
            <w:vMerge w:val="continue"/>
            <w:vAlign w:val="center"/>
          </w:tcPr>
          <w:p>
            <w:pPr>
              <w:spacing w:line="240" w:lineRule="exact"/>
              <w:jc w:val="center"/>
              <w:rPr>
                <w:b/>
                <w:sz w:val="20"/>
              </w:rPr>
            </w:pPr>
          </w:p>
        </w:tc>
        <w:tc>
          <w:tcPr>
            <w:tcW w:w="9237" w:type="dxa"/>
          </w:tcPr>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b/>
                <w:sz w:val="21"/>
                <w:szCs w:val="21"/>
                <w:lang w:val="en-US" w:eastAsia="zh-CN"/>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681" w:type="dxa"/>
            <w:vMerge w:val="continue"/>
            <w:vAlign w:val="center"/>
          </w:tcPr>
          <w:p>
            <w:pPr>
              <w:spacing w:line="240" w:lineRule="exact"/>
              <w:jc w:val="center"/>
              <w:rPr>
                <w:b/>
                <w:sz w:val="20"/>
              </w:rPr>
            </w:pPr>
          </w:p>
        </w:tc>
        <w:tc>
          <w:tcPr>
            <w:tcW w:w="9237" w:type="dxa"/>
          </w:tcPr>
          <w:p>
            <w:pPr>
              <w:keepNext w:val="0"/>
              <w:keepLines w:val="0"/>
              <w:pageBreakBefore w:val="0"/>
              <w:numPr>
                <w:ilvl w:val="0"/>
                <w:numId w:val="4"/>
              </w:numPr>
              <w:kinsoku/>
              <w:wordWrap/>
              <w:overflowPunct/>
              <w:topLinePunct w:val="0"/>
              <w:autoSpaceDE/>
              <w:autoSpaceDN/>
              <w:bidi w:val="0"/>
              <w:adjustRightInd/>
              <w:snapToGrid/>
              <w:spacing w:line="400" w:lineRule="exact"/>
              <w:ind w:left="105" w:leftChars="0" w:hanging="105" w:hangingChars="50"/>
              <w:textAlignment w:val="auto"/>
              <w:rPr>
                <w:rFonts w:hint="eastAsia" w:ascii="宋体" w:hAnsi="宋体"/>
                <w:b/>
                <w:sz w:val="21"/>
                <w:szCs w:val="21"/>
              </w:rPr>
            </w:pPr>
            <w:r>
              <w:rPr>
                <w:rFonts w:hint="eastAsia" w:ascii="宋体" w:hAnsi="宋体"/>
                <w:b/>
                <w:sz w:val="21"/>
                <w:szCs w:val="21"/>
              </w:rPr>
              <w:t>创新情况</w:t>
            </w:r>
            <w:r>
              <w:rPr>
                <w:rFonts w:hint="eastAsia" w:ascii="宋体" w:hAnsi="宋体"/>
                <w:b/>
                <w:sz w:val="21"/>
                <w:szCs w:val="21"/>
                <w:lang w:eastAsia="zh-CN"/>
              </w:rPr>
              <w:t>：</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50" w:firstLine="420" w:firstLineChars="200"/>
              <w:textAlignment w:val="auto"/>
              <w:rPr>
                <w:rFonts w:hint="eastAsia" w:ascii="宋体" w:hAnsi="宋体"/>
                <w:b/>
                <w:sz w:val="21"/>
                <w:szCs w:val="21"/>
              </w:rPr>
            </w:pPr>
            <w:r>
              <w:rPr>
                <w:rFonts w:hint="eastAsia"/>
                <w:color w:val="auto"/>
                <w:sz w:val="21"/>
                <w:szCs w:val="21"/>
                <w:lang w:val="en-US" w:eastAsia="zh-CN"/>
              </w:rPr>
              <w:t>积极采用新环保技术，改善环境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681" w:type="dxa"/>
            <w:vMerge w:val="continue"/>
            <w:vAlign w:val="center"/>
          </w:tcPr>
          <w:p>
            <w:pPr>
              <w:spacing w:line="240" w:lineRule="exact"/>
              <w:jc w:val="center"/>
              <w:rPr>
                <w:b/>
                <w:sz w:val="20"/>
              </w:rPr>
            </w:pPr>
          </w:p>
        </w:tc>
        <w:tc>
          <w:tcPr>
            <w:tcW w:w="9237" w:type="dxa"/>
          </w:tcPr>
          <w:p>
            <w:pPr>
              <w:keepNext w:val="0"/>
              <w:keepLines w:val="0"/>
              <w:pageBreakBefore w:val="0"/>
              <w:numPr>
                <w:ilvl w:val="0"/>
                <w:numId w:val="4"/>
              </w:numPr>
              <w:kinsoku/>
              <w:wordWrap/>
              <w:overflowPunct/>
              <w:topLinePunct w:val="0"/>
              <w:autoSpaceDE/>
              <w:autoSpaceDN/>
              <w:bidi w:val="0"/>
              <w:adjustRightInd/>
              <w:snapToGrid/>
              <w:spacing w:line="400" w:lineRule="exact"/>
              <w:ind w:left="105" w:leftChars="0" w:hanging="105" w:hangingChars="50"/>
              <w:textAlignment w:val="auto"/>
              <w:rPr>
                <w:rFonts w:hint="eastAsia" w:ascii="宋体" w:hAnsi="宋体"/>
                <w:b/>
                <w:sz w:val="21"/>
                <w:szCs w:val="21"/>
              </w:rPr>
            </w:pPr>
            <w:r>
              <w:rPr>
                <w:rFonts w:hint="eastAsia" w:ascii="宋体" w:hAnsi="宋体"/>
                <w:b/>
                <w:sz w:val="21"/>
                <w:szCs w:val="21"/>
              </w:rPr>
              <w:t>上次不符合的整改情况</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50" w:firstLine="420" w:firstLineChars="200"/>
              <w:textAlignment w:val="auto"/>
              <w:rPr>
                <w:rFonts w:hint="default" w:ascii="宋体" w:hAnsi="宋体"/>
                <w:b/>
                <w:sz w:val="21"/>
                <w:szCs w:val="21"/>
                <w:lang w:val="en-US"/>
              </w:rPr>
            </w:pPr>
            <w:r>
              <w:rPr>
                <w:rFonts w:hint="eastAsia"/>
                <w:color w:val="auto"/>
                <w:sz w:val="21"/>
                <w:szCs w:val="21"/>
              </w:rPr>
              <w:t>上次审核发现的不符合项</w:t>
            </w:r>
            <w:r>
              <w:rPr>
                <w:rFonts w:hint="eastAsia"/>
                <w:color w:val="auto"/>
                <w:sz w:val="21"/>
                <w:szCs w:val="21"/>
                <w:lang w:eastAsia="zh-CN"/>
              </w:rPr>
              <w:t>为</w:t>
            </w:r>
            <w:r>
              <w:rPr>
                <w:rFonts w:hint="eastAsia"/>
                <w:color w:val="auto"/>
                <w:sz w:val="21"/>
                <w:szCs w:val="21"/>
                <w:lang w:val="en-US" w:eastAsia="zh-CN"/>
              </w:rPr>
              <w:t>生产技术部7.1.5条款，</w:t>
            </w:r>
            <w:r>
              <w:rPr>
                <w:rFonts w:hint="eastAsia"/>
                <w:color w:val="auto"/>
                <w:sz w:val="21"/>
                <w:szCs w:val="21"/>
              </w:rPr>
              <w:t>相关责任部门对</w:t>
            </w:r>
            <w:r>
              <w:rPr>
                <w:rFonts w:hint="eastAsia"/>
                <w:color w:val="auto"/>
                <w:sz w:val="21"/>
                <w:szCs w:val="21"/>
                <w:lang w:eastAsia="zh-CN"/>
              </w:rPr>
              <w:t>其</w:t>
            </w:r>
            <w:r>
              <w:rPr>
                <w:rFonts w:hint="eastAsia"/>
                <w:color w:val="auto"/>
                <w:sz w:val="21"/>
                <w:szCs w:val="21"/>
              </w:rPr>
              <w:t>进行了原因分析，制定并采取了</w:t>
            </w:r>
            <w:r>
              <w:rPr>
                <w:rFonts w:hint="eastAsia"/>
                <w:color w:val="auto"/>
                <w:sz w:val="21"/>
                <w:szCs w:val="21"/>
                <w:lang w:eastAsia="zh-CN"/>
              </w:rPr>
              <w:t>纠正及</w:t>
            </w:r>
            <w:r>
              <w:rPr>
                <w:rFonts w:hint="eastAsia"/>
                <w:color w:val="auto"/>
                <w:sz w:val="21"/>
                <w:szCs w:val="21"/>
              </w:rPr>
              <w:t>纠正措施，</w:t>
            </w:r>
            <w:r>
              <w:rPr>
                <w:rFonts w:hint="eastAsia"/>
                <w:color w:val="auto"/>
                <w:sz w:val="21"/>
                <w:szCs w:val="21"/>
                <w:lang w:val="en-US" w:eastAsia="zh-CN"/>
              </w:rPr>
              <w:t>本次审核未发生类似问题，采取的纠正措施有效。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rPr>
          <w:rFonts w:hint="eastAsia" w:ascii="宋体" w:hAnsi="宋体" w:eastAsia="宋体"/>
          <w:b/>
          <w:szCs w:val="21"/>
          <w:lang w:eastAsia="zh-CN"/>
        </w:rPr>
      </w:pPr>
      <w:r>
        <w:rPr>
          <w:rFonts w:hint="eastAsia" w:ascii="宋体" w:hAnsi="宋体"/>
          <w:b/>
          <w:szCs w:val="21"/>
        </w:rPr>
        <w:t>本次审核共开具不符合项报告</w:t>
      </w:r>
      <w:r>
        <w:rPr>
          <w:rFonts w:hint="eastAsia" w:ascii="宋体" w:hAnsi="宋体"/>
          <w:b/>
          <w:szCs w:val="21"/>
          <w:lang w:val="en-US" w:eastAsia="zh-CN"/>
        </w:rPr>
        <w:t>0</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0</w:t>
      </w:r>
      <w:r>
        <w:rPr>
          <w:rFonts w:hint="eastAsia" w:ascii="宋体" w:hAnsi="宋体"/>
          <w:b/>
          <w:szCs w:val="21"/>
        </w:rPr>
        <w:t>项，观察项</w:t>
      </w:r>
      <w:r>
        <w:rPr>
          <w:rFonts w:hint="eastAsia" w:ascii="宋体" w:hAnsi="宋体"/>
          <w:b/>
          <w:szCs w:val="21"/>
          <w:lang w:val="en-US" w:eastAsia="zh-CN"/>
        </w:rPr>
        <w:t>0</w:t>
      </w:r>
      <w:r>
        <w:rPr>
          <w:rFonts w:hint="eastAsia" w:ascii="宋体" w:hAnsi="宋体"/>
          <w:b/>
          <w:szCs w:val="21"/>
        </w:rPr>
        <w:t>项</w:t>
      </w:r>
      <w:r>
        <w:rPr>
          <w:rFonts w:hint="eastAsia" w:ascii="宋体" w:hAnsi="宋体"/>
          <w:b/>
          <w:szCs w:val="21"/>
          <w:lang w:val="en-US" w:eastAsia="zh-CN"/>
        </w:rPr>
        <w:t>.</w:t>
      </w:r>
    </w:p>
    <w:p>
      <w:pPr>
        <w:tabs>
          <w:tab w:val="left" w:pos="645"/>
        </w:tabs>
        <w:spacing w:after="163" w:afterLines="50" w:line="360" w:lineRule="exact"/>
        <w:rPr>
          <w:rFonts w:hint="eastAsia"/>
          <w:b/>
          <w:sz w:val="26"/>
          <w:szCs w:val="26"/>
        </w:rPr>
      </w:pP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1"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pStyle w:val="15"/>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b/>
                <w:color w:val="000000" w:themeColor="text1"/>
                <w:sz w:val="22"/>
                <w:szCs w:val="22"/>
                <w:u w:val="single"/>
                <w:lang w:eastAsia="zh-CN"/>
              </w:rPr>
              <w:t>河北华泰复合管道有限公司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5"/>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5"/>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80" w:lineRule="exact"/>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szCs w:val="21"/>
              </w:rPr>
            </w:pPr>
            <w:r>
              <w:rPr>
                <w:rFonts w:ascii="宋体" w:hAnsi="宋体"/>
                <w:b/>
                <w:szCs w:val="21"/>
              </w:rPr>
              <w:t xml:space="preserve">2. </w:t>
            </w:r>
            <w:r>
              <w:rPr>
                <w:rFonts w:hint="eastAsia" w:ascii="宋体" w:hAnsi="宋体"/>
                <w:b/>
                <w:szCs w:val="21"/>
              </w:rPr>
              <w:t>审核组推荐意见：</w:t>
            </w:r>
          </w:p>
          <w:p>
            <w:pPr>
              <w:keepNext w:val="0"/>
              <w:keepLines w:val="0"/>
              <w:pageBreakBefore w:val="0"/>
              <w:widowControl w:val="0"/>
              <w:kinsoku/>
              <w:wordWrap/>
              <w:overflowPunct/>
              <w:topLinePunct w:val="0"/>
              <w:autoSpaceDE/>
              <w:autoSpaceDN/>
              <w:bidi w:val="0"/>
              <w:adjustRightInd/>
              <w:snapToGrid/>
              <w:spacing w:line="360" w:lineRule="exact"/>
              <w:ind w:firstLine="361" w:firstLineChars="150"/>
              <w:textAlignment w:val="auto"/>
              <w:rPr>
                <w:rFonts w:hint="default" w:ascii="宋体" w:hAnsi="宋体" w:eastAsia="宋体"/>
                <w:b/>
                <w:szCs w:val="21"/>
                <w:lang w:val="en-US" w:eastAsia="zh-CN"/>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r>
              <w:rPr>
                <w:rFonts w:hint="eastAsia" w:ascii="宋体" w:hAnsi="宋体"/>
                <w:b/>
                <w:szCs w:val="21"/>
                <w:lang w:eastAsia="zh-CN"/>
              </w:rPr>
              <w:t>）</w:t>
            </w:r>
            <w:r>
              <w:rPr>
                <w:rFonts w:hint="eastAsia" w:ascii="宋体" w:hAnsi="宋体"/>
                <w:b/>
                <w:szCs w:val="21"/>
                <w:lang w:val="en-US" w:eastAsia="zh-CN"/>
              </w:rPr>
              <w:t>并扩大认证范围</w:t>
            </w:r>
          </w:p>
          <w:p>
            <w:pPr>
              <w:keepNext w:val="0"/>
              <w:keepLines w:val="0"/>
              <w:pageBreakBefore w:val="0"/>
              <w:widowControl w:val="0"/>
              <w:kinsoku/>
              <w:wordWrap/>
              <w:overflowPunct/>
              <w:topLinePunct w:val="0"/>
              <w:autoSpaceDE/>
              <w:autoSpaceDN/>
              <w:bidi w:val="0"/>
              <w:adjustRightInd/>
              <w:snapToGrid/>
              <w:spacing w:line="360" w:lineRule="exact"/>
              <w:ind w:firstLine="361" w:firstLineChars="150"/>
              <w:textAlignment w:val="auto"/>
              <w:rPr>
                <w:rFonts w:hint="eastAsia" w:ascii="宋体" w:hAnsi="宋体" w:eastAsia="宋体"/>
                <w:b/>
                <w:szCs w:val="21"/>
                <w:lang w:eastAsia="zh-CN"/>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r>
              <w:rPr>
                <w:rFonts w:hint="eastAsia" w:ascii="宋体" w:hAnsi="宋体"/>
                <w:b/>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361" w:firstLineChars="150"/>
              <w:textAlignment w:val="auto"/>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keepNext w:val="0"/>
              <w:keepLines w:val="0"/>
              <w:pageBreakBefore w:val="0"/>
              <w:widowControl w:val="0"/>
              <w:kinsoku/>
              <w:wordWrap/>
              <w:overflowPunct/>
              <w:topLinePunct w:val="0"/>
              <w:autoSpaceDE/>
              <w:autoSpaceDN/>
              <w:bidi w:val="0"/>
              <w:adjustRightInd/>
              <w:snapToGrid/>
              <w:spacing w:line="360" w:lineRule="exact"/>
              <w:ind w:firstLine="361" w:firstLineChars="150"/>
              <w:textAlignment w:val="auto"/>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keepNext w:val="0"/>
              <w:keepLines w:val="0"/>
              <w:pageBreakBefore w:val="0"/>
              <w:widowControl w:val="0"/>
              <w:kinsoku/>
              <w:wordWrap/>
              <w:overflowPunct/>
              <w:topLinePunct w:val="0"/>
              <w:autoSpaceDE/>
              <w:autoSpaceDN/>
              <w:bidi w:val="0"/>
              <w:adjustRightInd/>
              <w:snapToGrid/>
              <w:spacing w:line="360" w:lineRule="exact"/>
              <w:ind w:firstLine="361" w:firstLineChars="150"/>
              <w:textAlignment w:val="auto"/>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keepNext w:val="0"/>
        <w:keepLines w:val="0"/>
        <w:pageBreakBefore w:val="0"/>
        <w:widowControl w:val="0"/>
        <w:tabs>
          <w:tab w:val="left" w:pos="645"/>
        </w:tabs>
        <w:kinsoku/>
        <w:wordWrap/>
        <w:overflowPunct/>
        <w:topLinePunct w:val="0"/>
        <w:autoSpaceDE/>
        <w:autoSpaceDN/>
        <w:bidi w:val="0"/>
        <w:adjustRightInd/>
        <w:spacing w:after="163" w:afterLines="50" w:line="400" w:lineRule="exact"/>
        <w:textAlignment w:val="auto"/>
        <w:rPr>
          <w:rFonts w:hint="eastAsia"/>
          <w:b/>
          <w:sz w:val="26"/>
          <w:szCs w:val="26"/>
        </w:rPr>
      </w:pPr>
    </w:p>
    <w:p>
      <w:pPr>
        <w:keepNext w:val="0"/>
        <w:keepLines w:val="0"/>
        <w:pageBreakBefore w:val="0"/>
        <w:widowControl w:val="0"/>
        <w:tabs>
          <w:tab w:val="left" w:pos="645"/>
        </w:tabs>
        <w:kinsoku/>
        <w:wordWrap/>
        <w:overflowPunct/>
        <w:topLinePunct w:val="0"/>
        <w:autoSpaceDE/>
        <w:autoSpaceDN/>
        <w:bidi w:val="0"/>
        <w:adjustRightInd/>
        <w:spacing w:after="163" w:afterLines="50" w:line="400" w:lineRule="exact"/>
        <w:textAlignment w:val="auto"/>
        <w:rPr>
          <w:b/>
          <w:sz w:val="16"/>
          <w:szCs w:val="16"/>
        </w:rPr>
      </w:pPr>
      <w:r>
        <w:rPr>
          <w:rFonts w:hint="eastAsia"/>
          <w:b/>
          <w:sz w:val="26"/>
          <w:szCs w:val="26"/>
        </w:rPr>
        <w:t>十、不符合项纠正措施要求</w:t>
      </w:r>
    </w:p>
    <w:p>
      <w:pPr>
        <w:keepNext w:val="0"/>
        <w:keepLines w:val="0"/>
        <w:pageBreakBefore w:val="0"/>
        <w:widowControl w:val="0"/>
        <w:kinsoku/>
        <w:wordWrap/>
        <w:overflowPunct/>
        <w:topLinePunct w:val="0"/>
        <w:autoSpaceDE/>
        <w:autoSpaceDN/>
        <w:bidi w:val="0"/>
        <w:adjustRightInd/>
        <w:spacing w:line="400" w:lineRule="exact"/>
        <w:ind w:left="528" w:leftChars="220"/>
        <w:textAlignment w:val="auto"/>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keepNext w:val="0"/>
        <w:keepLines w:val="0"/>
        <w:pageBreakBefore w:val="0"/>
        <w:widowControl w:val="0"/>
        <w:tabs>
          <w:tab w:val="left" w:pos="645"/>
        </w:tabs>
        <w:kinsoku/>
        <w:wordWrap/>
        <w:overflowPunct/>
        <w:topLinePunct w:val="0"/>
        <w:autoSpaceDE/>
        <w:autoSpaceDN/>
        <w:bidi w:val="0"/>
        <w:adjustRightInd/>
        <w:spacing w:after="163" w:afterLines="50" w:line="400" w:lineRule="exact"/>
        <w:textAlignment w:val="auto"/>
        <w:rPr>
          <w:rFonts w:hint="eastAsia"/>
          <w:b/>
          <w:sz w:val="26"/>
          <w:szCs w:val="26"/>
        </w:rPr>
      </w:pPr>
    </w:p>
    <w:p>
      <w:pPr>
        <w:keepNext w:val="0"/>
        <w:keepLines w:val="0"/>
        <w:pageBreakBefore w:val="0"/>
        <w:widowControl w:val="0"/>
        <w:tabs>
          <w:tab w:val="left" w:pos="645"/>
        </w:tabs>
        <w:kinsoku/>
        <w:wordWrap/>
        <w:overflowPunct/>
        <w:topLinePunct w:val="0"/>
        <w:autoSpaceDE/>
        <w:autoSpaceDN/>
        <w:bidi w:val="0"/>
        <w:adjustRightInd/>
        <w:spacing w:after="163" w:afterLines="50" w:line="400" w:lineRule="exact"/>
        <w:textAlignment w:val="auto"/>
        <w:rPr>
          <w:rFonts w:hint="default" w:eastAsia="宋体"/>
          <w:b/>
          <w:sz w:val="26"/>
          <w:szCs w:val="26"/>
          <w:lang w:val="en-US" w:eastAsia="zh-CN"/>
        </w:rPr>
      </w:pPr>
      <w:r>
        <w:rPr>
          <w:rFonts w:hint="eastAsia"/>
          <w:b/>
          <w:sz w:val="26"/>
          <w:szCs w:val="26"/>
        </w:rPr>
        <w:t>十一、任何影响审核方案的重要事项</w:t>
      </w:r>
      <w:r>
        <w:rPr>
          <w:rFonts w:hint="eastAsia"/>
          <w:b/>
          <w:sz w:val="26"/>
          <w:szCs w:val="26"/>
          <w:lang w:eastAsia="zh-CN"/>
        </w:rPr>
        <w:t>：</w:t>
      </w:r>
      <w:r>
        <w:rPr>
          <w:rFonts w:hint="eastAsia"/>
          <w:b/>
          <w:sz w:val="26"/>
          <w:szCs w:val="26"/>
          <w:lang w:val="en-US" w:eastAsia="zh-CN"/>
        </w:rPr>
        <w:t>远程审核，审核发现受限。</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b/>
          <w:bCs/>
          <w:sz w:val="21"/>
          <w:szCs w:val="28"/>
        </w:rPr>
      </w:pPr>
    </w:p>
    <w:p>
      <w:pPr>
        <w:keepNext w:val="0"/>
        <w:keepLines w:val="0"/>
        <w:pageBreakBefore w:val="0"/>
        <w:widowControl w:val="0"/>
        <w:tabs>
          <w:tab w:val="left" w:pos="645"/>
        </w:tabs>
        <w:kinsoku/>
        <w:wordWrap/>
        <w:overflowPunct/>
        <w:topLinePunct w:val="0"/>
        <w:autoSpaceDE/>
        <w:autoSpaceDN/>
        <w:bidi w:val="0"/>
        <w:adjustRightInd/>
        <w:spacing w:after="163" w:afterLines="50" w:line="400" w:lineRule="exact"/>
        <w:textAlignment w:val="auto"/>
        <w:rPr>
          <w:b/>
          <w:sz w:val="16"/>
          <w:szCs w:val="16"/>
        </w:rPr>
      </w:pPr>
      <w:r>
        <w:rPr>
          <w:rFonts w:hint="eastAsia" w:eastAsia="宋体"/>
          <w:b/>
          <w:sz w:val="21"/>
          <w:lang w:eastAsia="zh-CN"/>
        </w:rPr>
        <w:drawing>
          <wp:anchor distT="0" distB="0" distL="114300" distR="114300" simplePos="0" relativeHeight="251659264" behindDoc="0" locked="0" layoutInCell="1" allowOverlap="1">
            <wp:simplePos x="0" y="0"/>
            <wp:positionH relativeFrom="column">
              <wp:posOffset>1551305</wp:posOffset>
            </wp:positionH>
            <wp:positionV relativeFrom="paragraph">
              <wp:posOffset>138430</wp:posOffset>
            </wp:positionV>
            <wp:extent cx="1223010" cy="588645"/>
            <wp:effectExtent l="0" t="0" r="0" b="889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1223010" cy="588645"/>
                    </a:xfrm>
                    <a:prstGeom prst="rect">
                      <a:avLst/>
                    </a:prstGeom>
                  </pic:spPr>
                </pic:pic>
              </a:graphicData>
            </a:graphic>
          </wp:anchor>
        </w:drawing>
      </w:r>
      <w:r>
        <w:rPr>
          <w:rFonts w:hint="eastAsia"/>
          <w:b/>
          <w:sz w:val="26"/>
          <w:szCs w:val="26"/>
        </w:rPr>
        <w:t>十二、审核组签字</w:t>
      </w:r>
    </w:p>
    <w:p>
      <w:pPr>
        <w:keepNext w:val="0"/>
        <w:keepLines w:val="0"/>
        <w:pageBreakBefore w:val="0"/>
        <w:widowControl w:val="0"/>
        <w:kinsoku/>
        <w:wordWrap/>
        <w:overflowPunct/>
        <w:topLinePunct w:val="0"/>
        <w:autoSpaceDE/>
        <w:autoSpaceDN/>
        <w:bidi w:val="0"/>
        <w:adjustRightInd/>
        <w:snapToGrid w:val="0"/>
        <w:spacing w:line="400" w:lineRule="exact"/>
        <w:ind w:firstLine="527" w:firstLineChars="250"/>
        <w:textAlignment w:val="auto"/>
        <w:rPr>
          <w:rFonts w:hint="eastAsia" w:eastAsia="宋体"/>
          <w:b/>
          <w:sz w:val="21"/>
          <w:lang w:eastAsia="zh-CN"/>
        </w:rPr>
      </w:pPr>
      <w:r>
        <w:rPr>
          <w:rFonts w:hint="eastAsia"/>
          <w:b/>
          <w:sz w:val="21"/>
        </w:rPr>
        <w:t>审核组组长（签名）：</w:t>
      </w:r>
    </w:p>
    <w:p>
      <w:pPr>
        <w:keepNext w:val="0"/>
        <w:keepLines w:val="0"/>
        <w:pageBreakBefore w:val="0"/>
        <w:widowControl w:val="0"/>
        <w:kinsoku/>
        <w:wordWrap/>
        <w:overflowPunct/>
        <w:topLinePunct w:val="0"/>
        <w:autoSpaceDE/>
        <w:autoSpaceDN/>
        <w:bidi w:val="0"/>
        <w:adjustRightInd/>
        <w:snapToGrid w:val="0"/>
        <w:spacing w:before="163" w:beforeLines="50" w:line="400" w:lineRule="exact"/>
        <w:ind w:firstLine="600" w:firstLineChars="250"/>
        <w:textAlignment w:val="auto"/>
        <w:rPr>
          <w:b/>
          <w:sz w:val="21"/>
        </w:rPr>
      </w:pPr>
      <w:r>
        <w:drawing>
          <wp:anchor distT="0" distB="0" distL="114300" distR="114300" simplePos="0" relativeHeight="251675648" behindDoc="0" locked="0" layoutInCell="1" allowOverlap="1">
            <wp:simplePos x="0" y="0"/>
            <wp:positionH relativeFrom="column">
              <wp:posOffset>1699895</wp:posOffset>
            </wp:positionH>
            <wp:positionV relativeFrom="paragraph">
              <wp:posOffset>80645</wp:posOffset>
            </wp:positionV>
            <wp:extent cx="1160780" cy="502920"/>
            <wp:effectExtent l="0" t="0" r="7620" b="5080"/>
            <wp:wrapNone/>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7"/>
                    <a:stretch>
                      <a:fillRect/>
                    </a:stretch>
                  </pic:blipFill>
                  <pic:spPr>
                    <a:xfrm>
                      <a:off x="0" y="0"/>
                      <a:ext cx="1160780" cy="502920"/>
                    </a:xfrm>
                    <a:prstGeom prst="rect">
                      <a:avLst/>
                    </a:prstGeom>
                    <a:noFill/>
                    <a:ln>
                      <a:noFill/>
                    </a:ln>
                  </pic:spPr>
                </pic:pic>
              </a:graphicData>
            </a:graphic>
          </wp:anchor>
        </w:drawing>
      </w:r>
      <w:r>
        <w:rPr>
          <w:rFonts w:hint="eastAsia"/>
          <w:b/>
          <w:sz w:val="21"/>
        </w:rPr>
        <w:t>审核组组员（签名）：</w:t>
      </w:r>
    </w:p>
    <w:p>
      <w:pPr>
        <w:keepNext w:val="0"/>
        <w:keepLines w:val="0"/>
        <w:pageBreakBefore w:val="0"/>
        <w:widowControl w:val="0"/>
        <w:kinsoku/>
        <w:wordWrap/>
        <w:overflowPunct/>
        <w:topLinePunct w:val="0"/>
        <w:autoSpaceDE/>
        <w:autoSpaceDN/>
        <w:bidi w:val="0"/>
        <w:adjustRightInd/>
        <w:snapToGrid w:val="0"/>
        <w:spacing w:line="400" w:lineRule="exact"/>
        <w:ind w:firstLine="6325" w:firstLineChars="3000"/>
        <w:textAlignment w:val="auto"/>
        <w:rPr>
          <w:rFonts w:hint="default" w:eastAsia="宋体"/>
          <w:b/>
          <w:sz w:val="21"/>
          <w:lang w:val="en-US" w:eastAsia="zh-CN"/>
        </w:rPr>
      </w:pPr>
      <w:r>
        <w:rPr>
          <w:rFonts w:hint="eastAsia"/>
          <w:b/>
          <w:sz w:val="21"/>
        </w:rPr>
        <w:t>日期：</w:t>
      </w:r>
      <w:r>
        <w:rPr>
          <w:rFonts w:hint="eastAsia"/>
          <w:b/>
          <w:sz w:val="21"/>
          <w:lang w:val="en-US" w:eastAsia="zh-CN"/>
        </w:rPr>
        <w:t>2020.10.2</w:t>
      </w:r>
    </w:p>
    <w:p>
      <w:pPr>
        <w:keepNext w:val="0"/>
        <w:keepLines w:val="0"/>
        <w:pageBreakBefore w:val="0"/>
        <w:widowControl w:val="0"/>
        <w:kinsoku/>
        <w:wordWrap/>
        <w:overflowPunct/>
        <w:topLinePunct w:val="0"/>
        <w:autoSpaceDE/>
        <w:autoSpaceDN/>
        <w:bidi w:val="0"/>
        <w:adjustRightInd/>
        <w:snapToGrid w:val="0"/>
        <w:spacing w:line="400" w:lineRule="exact"/>
        <w:ind w:firstLine="482" w:firstLineChars="300"/>
        <w:textAlignment w:val="auto"/>
        <w:rPr>
          <w:b/>
          <w:sz w:val="16"/>
          <w:szCs w:val="16"/>
        </w:rPr>
      </w:pPr>
    </w:p>
    <w:p>
      <w:pPr>
        <w:keepNext w:val="0"/>
        <w:keepLines w:val="0"/>
        <w:pageBreakBefore w:val="0"/>
        <w:widowControl w:val="0"/>
        <w:tabs>
          <w:tab w:val="left" w:pos="645"/>
        </w:tabs>
        <w:kinsoku/>
        <w:wordWrap/>
        <w:overflowPunct/>
        <w:topLinePunct w:val="0"/>
        <w:autoSpaceDE/>
        <w:autoSpaceDN/>
        <w:bidi w:val="0"/>
        <w:adjustRightInd/>
        <w:spacing w:after="163" w:afterLines="50" w:line="400" w:lineRule="exact"/>
        <w:textAlignment w:val="auto"/>
        <w:rPr>
          <w:b/>
          <w:bCs/>
          <w:sz w:val="16"/>
          <w:szCs w:val="16"/>
        </w:rPr>
      </w:pPr>
      <w:r>
        <w:rPr>
          <w:rFonts w:hint="eastAsia"/>
          <w:b/>
          <w:sz w:val="26"/>
          <w:szCs w:val="26"/>
        </w:rPr>
        <w:t>十三、纠正措施验证及结论</w:t>
      </w:r>
    </w:p>
    <w:p>
      <w:pPr>
        <w:keepNext w:val="0"/>
        <w:keepLines w:val="0"/>
        <w:pageBreakBefore w:val="0"/>
        <w:widowControl w:val="0"/>
        <w:kinsoku/>
        <w:wordWrap/>
        <w:overflowPunct/>
        <w:topLinePunct w:val="0"/>
        <w:autoSpaceDE/>
        <w:autoSpaceDN/>
        <w:bidi w:val="0"/>
        <w:adjustRightInd/>
        <w:spacing w:line="400" w:lineRule="exact"/>
        <w:ind w:firstLine="527" w:firstLineChars="250"/>
        <w:textAlignment w:val="auto"/>
        <w:rPr>
          <w:b/>
          <w:bCs/>
          <w:sz w:val="21"/>
          <w:szCs w:val="21"/>
        </w:rPr>
      </w:pPr>
      <w:r>
        <w:rPr>
          <w:b/>
          <w:bCs/>
          <w:sz w:val="21"/>
          <w:szCs w:val="21"/>
        </w:rPr>
        <w:t>1.</w:t>
      </w:r>
      <w:r>
        <w:rPr>
          <w:rFonts w:hint="eastAsia"/>
          <w:b/>
          <w:bCs/>
          <w:sz w:val="21"/>
          <w:szCs w:val="21"/>
        </w:rPr>
        <w:t>审核中发现的</w:t>
      </w:r>
      <w:r>
        <w:rPr>
          <w:rFonts w:hint="eastAsia"/>
          <w:b/>
          <w:sz w:val="21"/>
          <w:szCs w:val="21"/>
          <w:lang w:eastAsia="zh-CN"/>
        </w:rPr>
        <w:t>☑</w:t>
      </w:r>
      <w:r>
        <w:rPr>
          <w:b/>
          <w:sz w:val="21"/>
          <w:szCs w:val="21"/>
        </w:rPr>
        <w:t>QMS (</w:t>
      </w:r>
      <w:r>
        <w:rPr>
          <w:rFonts w:hint="eastAsia"/>
          <w:b/>
          <w:sz w:val="21"/>
          <w:szCs w:val="21"/>
          <w:lang w:val="en-US" w:eastAsia="zh-CN"/>
        </w:rPr>
        <w:t xml:space="preserve"> 0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0 </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keepNext w:val="0"/>
        <w:keepLines w:val="0"/>
        <w:pageBreakBefore w:val="0"/>
        <w:widowControl w:val="0"/>
        <w:kinsoku/>
        <w:wordWrap/>
        <w:overflowPunct/>
        <w:topLinePunct w:val="0"/>
        <w:autoSpaceDE/>
        <w:autoSpaceDN/>
        <w:bidi w:val="0"/>
        <w:adjustRightInd/>
        <w:spacing w:line="400" w:lineRule="exact"/>
        <w:ind w:firstLine="843" w:firstLineChars="400"/>
        <w:textAlignment w:val="auto"/>
        <w:rPr>
          <w:b/>
          <w:bCs/>
          <w:sz w:val="21"/>
          <w:szCs w:val="21"/>
        </w:rPr>
      </w:pPr>
      <w:r>
        <w:rPr>
          <w:rFonts w:hint="eastAsia"/>
          <w:b/>
          <w:bCs/>
          <w:sz w:val="21"/>
          <w:szCs w:val="21"/>
        </w:rPr>
        <w:t>审核中发现的□50430 (    )个一般不符合，(    )个严重不符合，□验证合格□仍有问题</w:t>
      </w:r>
    </w:p>
    <w:p>
      <w:pPr>
        <w:keepNext w:val="0"/>
        <w:keepLines w:val="0"/>
        <w:pageBreakBefore w:val="0"/>
        <w:widowControl w:val="0"/>
        <w:kinsoku/>
        <w:wordWrap/>
        <w:overflowPunct/>
        <w:topLinePunct w:val="0"/>
        <w:autoSpaceDE/>
        <w:autoSpaceDN/>
        <w:bidi w:val="0"/>
        <w:adjustRightInd/>
        <w:spacing w:line="400" w:lineRule="exact"/>
        <w:ind w:firstLine="843" w:firstLineChars="400"/>
        <w:textAlignment w:val="auto"/>
        <w:rPr>
          <w:b/>
          <w:sz w:val="21"/>
          <w:szCs w:val="21"/>
        </w:rPr>
      </w:pPr>
      <w:r>
        <w:rPr>
          <w:rFonts w:hint="eastAsia"/>
          <w:b/>
          <w:bCs/>
          <w:sz w:val="21"/>
          <w:szCs w:val="21"/>
        </w:rPr>
        <w:t>审核中发现的</w:t>
      </w:r>
      <w:r>
        <w:rPr>
          <w:rFonts w:hint="eastAsia"/>
          <w:b/>
          <w:sz w:val="21"/>
          <w:szCs w:val="21"/>
          <w:lang w:eastAsia="zh-CN"/>
        </w:rPr>
        <w:t>☑</w:t>
      </w:r>
      <w:r>
        <w:rPr>
          <w:b/>
          <w:sz w:val="21"/>
          <w:szCs w:val="21"/>
        </w:rPr>
        <w:t>EMS (</w:t>
      </w:r>
      <w:r>
        <w:rPr>
          <w:rFonts w:hint="eastAsia"/>
          <w:b/>
          <w:sz w:val="21"/>
          <w:szCs w:val="21"/>
          <w:lang w:val="en-US" w:eastAsia="zh-CN"/>
        </w:rPr>
        <w:t>0</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 xml:space="preserve"> )</w:t>
      </w:r>
      <w:r>
        <w:rPr>
          <w:rFonts w:hint="eastAsia"/>
          <w:b/>
          <w:sz w:val="21"/>
          <w:szCs w:val="21"/>
        </w:rPr>
        <w:t>个严重不符合，□验证合格□仍有问题</w:t>
      </w:r>
    </w:p>
    <w:p>
      <w:pPr>
        <w:keepNext w:val="0"/>
        <w:keepLines w:val="0"/>
        <w:pageBreakBefore w:val="0"/>
        <w:widowControl w:val="0"/>
        <w:kinsoku/>
        <w:wordWrap/>
        <w:overflowPunct/>
        <w:topLinePunct w:val="0"/>
        <w:autoSpaceDE/>
        <w:autoSpaceDN/>
        <w:bidi w:val="0"/>
        <w:adjustRightInd/>
        <w:spacing w:line="400" w:lineRule="exact"/>
        <w:ind w:firstLine="843" w:firstLineChars="400"/>
        <w:textAlignment w:val="auto"/>
        <w:rPr>
          <w:b/>
          <w:sz w:val="21"/>
          <w:szCs w:val="21"/>
        </w:rPr>
      </w:pPr>
      <w:r>
        <w:rPr>
          <w:rFonts w:hint="eastAsia"/>
          <w:b/>
          <w:bCs/>
          <w:sz w:val="21"/>
          <w:szCs w:val="21"/>
        </w:rPr>
        <w:t>审核中发现的</w:t>
      </w:r>
      <w:r>
        <w:rPr>
          <w:rFonts w:hint="eastAsia"/>
          <w:b/>
          <w:sz w:val="21"/>
          <w:szCs w:val="21"/>
          <w:lang w:eastAsia="zh-CN"/>
        </w:rPr>
        <w:t>☑</w:t>
      </w:r>
      <w:r>
        <w:rPr>
          <w:b/>
          <w:sz w:val="21"/>
          <w:szCs w:val="21"/>
        </w:rPr>
        <w:t>OHSMS (</w:t>
      </w:r>
      <w:r>
        <w:rPr>
          <w:rFonts w:hint="eastAsia"/>
          <w:b/>
          <w:sz w:val="21"/>
          <w:szCs w:val="21"/>
          <w:lang w:val="en-US" w:eastAsia="zh-CN"/>
        </w:rPr>
        <w:t>0</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r>
        <w:rPr>
          <w:rFonts w:hint="eastAsia"/>
          <w:b/>
          <w:bCs/>
          <w:sz w:val="21"/>
          <w:szCs w:val="21"/>
        </w:rPr>
        <w:t>审</w:t>
      </w:r>
    </w:p>
    <w:p>
      <w:pPr>
        <w:keepNext w:val="0"/>
        <w:keepLines w:val="0"/>
        <w:pageBreakBefore w:val="0"/>
        <w:widowControl w:val="0"/>
        <w:kinsoku/>
        <w:wordWrap/>
        <w:overflowPunct/>
        <w:topLinePunct w:val="0"/>
        <w:autoSpaceDE/>
        <w:autoSpaceDN/>
        <w:bidi w:val="0"/>
        <w:adjustRightInd/>
        <w:spacing w:before="163" w:beforeLines="50" w:line="400" w:lineRule="exact"/>
        <w:textAlignment w:val="auto"/>
        <w:rPr>
          <w:b/>
          <w:sz w:val="21"/>
          <w:szCs w:val="21"/>
          <w:u w:val="single"/>
        </w:rPr>
      </w:pPr>
      <w:r>
        <w:rPr>
          <w:rFonts w:hint="eastAsia"/>
          <w:b/>
          <w:sz w:val="21"/>
          <w:szCs w:val="21"/>
        </w:rPr>
        <w:t>存在问题说明及意见：</w:t>
      </w:r>
    </w:p>
    <w:p>
      <w:pPr>
        <w:keepNext w:val="0"/>
        <w:keepLines w:val="0"/>
        <w:pageBreakBefore w:val="0"/>
        <w:widowControl w:val="0"/>
        <w:kinsoku/>
        <w:wordWrap/>
        <w:overflowPunct/>
        <w:topLinePunct w:val="0"/>
        <w:autoSpaceDE/>
        <w:autoSpaceDN/>
        <w:bidi w:val="0"/>
        <w:adjustRightInd/>
        <w:spacing w:before="163" w:beforeLines="50" w:line="400" w:lineRule="exact"/>
        <w:ind w:firstLine="632" w:firstLineChars="300"/>
        <w:textAlignment w:val="auto"/>
        <w:rPr>
          <w:b/>
          <w:sz w:val="21"/>
          <w:szCs w:val="21"/>
        </w:rPr>
      </w:pPr>
      <w:bookmarkStart w:id="13" w:name="_GoBack"/>
      <w:bookmarkEnd w:id="13"/>
      <w:r>
        <w:rPr>
          <w:b/>
          <w:sz w:val="21"/>
          <w:szCs w:val="21"/>
        </w:rPr>
        <w:t>2.</w:t>
      </w:r>
      <w:r>
        <w:rPr>
          <w:rFonts w:hint="eastAsia"/>
          <w:b/>
          <w:sz w:val="21"/>
          <w:szCs w:val="21"/>
        </w:rPr>
        <w:t>验证结论：</w:t>
      </w:r>
    </w:p>
    <w:p>
      <w:pPr>
        <w:keepNext w:val="0"/>
        <w:keepLines w:val="0"/>
        <w:pageBreakBefore w:val="0"/>
        <w:widowControl w:val="0"/>
        <w:tabs>
          <w:tab w:val="left" w:pos="6880"/>
          <w:tab w:val="left" w:pos="7740"/>
          <w:tab w:val="left" w:pos="8385"/>
        </w:tabs>
        <w:kinsoku/>
        <w:wordWrap/>
        <w:overflowPunct/>
        <w:topLinePunct w:val="0"/>
        <w:autoSpaceDE/>
        <w:autoSpaceDN/>
        <w:bidi w:val="0"/>
        <w:adjustRightInd/>
        <w:snapToGrid w:val="0"/>
        <w:spacing w:before="163" w:beforeLines="50" w:line="400" w:lineRule="exact"/>
        <w:ind w:firstLine="1717" w:firstLineChars="900"/>
        <w:textAlignment w:val="auto"/>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keepNext w:val="0"/>
        <w:keepLines w:val="0"/>
        <w:pageBreakBefore w:val="0"/>
        <w:widowControl w:val="0"/>
        <w:tabs>
          <w:tab w:val="left" w:pos="6880"/>
          <w:tab w:val="left" w:pos="7740"/>
          <w:tab w:val="left" w:pos="8385"/>
        </w:tabs>
        <w:kinsoku/>
        <w:wordWrap/>
        <w:overflowPunct/>
        <w:topLinePunct w:val="0"/>
        <w:autoSpaceDE/>
        <w:autoSpaceDN/>
        <w:bidi w:val="0"/>
        <w:adjustRightInd/>
        <w:snapToGrid w:val="0"/>
        <w:spacing w:before="163" w:beforeLines="50" w:line="400" w:lineRule="exact"/>
        <w:ind w:firstLine="723" w:firstLineChars="343"/>
        <w:textAlignment w:val="auto"/>
        <w:rPr>
          <w:rFonts w:hint="eastAsia"/>
          <w:b/>
          <w:sz w:val="21"/>
          <w:szCs w:val="21"/>
        </w:rPr>
      </w:pPr>
      <w:r>
        <w:rPr>
          <w:rFonts w:hint="eastAsia"/>
          <w:b/>
          <w:sz w:val="21"/>
          <w:szCs w:val="21"/>
          <w:lang w:val="en-US" w:eastAsia="zh-CN"/>
        </w:rPr>
        <w:drawing>
          <wp:anchor distT="0" distB="0" distL="114300" distR="114300" simplePos="0" relativeHeight="251660288" behindDoc="0" locked="0" layoutInCell="1" allowOverlap="1">
            <wp:simplePos x="0" y="0"/>
            <wp:positionH relativeFrom="column">
              <wp:posOffset>1096645</wp:posOffset>
            </wp:positionH>
            <wp:positionV relativeFrom="paragraph">
              <wp:posOffset>183515</wp:posOffset>
            </wp:positionV>
            <wp:extent cx="1218565" cy="586740"/>
            <wp:effectExtent l="0" t="0" r="0" b="10795"/>
            <wp:wrapNone/>
            <wp:docPr id="4"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0904151347"/>
                    <pic:cNvPicPr>
                      <a:picLocks noChangeAspect="1"/>
                    </pic:cNvPicPr>
                  </pic:nvPicPr>
                  <pic:blipFill>
                    <a:blip r:embed="rId6"/>
                    <a:stretch>
                      <a:fillRect/>
                    </a:stretch>
                  </pic:blipFill>
                  <pic:spPr>
                    <a:xfrm>
                      <a:off x="0" y="0"/>
                      <a:ext cx="1218565" cy="586740"/>
                    </a:xfrm>
                    <a:prstGeom prst="rect">
                      <a:avLst/>
                    </a:prstGeom>
                  </pic:spPr>
                </pic:pic>
              </a:graphicData>
            </a:graphic>
          </wp:anchor>
        </w:drawing>
      </w:r>
    </w:p>
    <w:p>
      <w:pPr>
        <w:keepNext w:val="0"/>
        <w:keepLines w:val="0"/>
        <w:pageBreakBefore w:val="0"/>
        <w:widowControl w:val="0"/>
        <w:tabs>
          <w:tab w:val="left" w:pos="6880"/>
          <w:tab w:val="left" w:pos="7740"/>
          <w:tab w:val="left" w:pos="8385"/>
        </w:tabs>
        <w:kinsoku/>
        <w:wordWrap/>
        <w:overflowPunct/>
        <w:topLinePunct w:val="0"/>
        <w:autoSpaceDE/>
        <w:autoSpaceDN/>
        <w:bidi w:val="0"/>
        <w:adjustRightInd/>
        <w:snapToGrid w:val="0"/>
        <w:spacing w:before="163" w:beforeLines="50" w:line="400" w:lineRule="exact"/>
        <w:ind w:firstLine="723" w:firstLineChars="343"/>
        <w:textAlignment w:val="auto"/>
        <w:rPr>
          <w:rFonts w:hint="default" w:eastAsia="宋体"/>
          <w:b/>
          <w:sz w:val="21"/>
          <w:szCs w:val="21"/>
          <w:u w:val="single"/>
          <w:lang w:val="en-US" w:eastAsia="zh-CN"/>
        </w:rPr>
      </w:pPr>
      <w:r>
        <w:rPr>
          <w:rFonts w:hint="eastAsia"/>
          <w:b/>
          <w:sz w:val="21"/>
          <w:szCs w:val="21"/>
        </w:rPr>
        <w:t>组长签字：</w:t>
      </w:r>
      <w:r>
        <w:rPr>
          <w:rFonts w:hint="eastAsia"/>
          <w:b/>
          <w:sz w:val="21"/>
          <w:szCs w:val="21"/>
          <w:lang w:val="en-US" w:eastAsia="zh-CN"/>
        </w:rPr>
        <w:t xml:space="preserve">                                  </w:t>
      </w:r>
      <w:r>
        <w:rPr>
          <w:rFonts w:hint="eastAsia"/>
          <w:b/>
          <w:sz w:val="21"/>
        </w:rPr>
        <w:t>日期：</w:t>
      </w:r>
      <w:r>
        <w:rPr>
          <w:rFonts w:hint="eastAsia"/>
          <w:b/>
          <w:sz w:val="21"/>
          <w:lang w:val="en-US" w:eastAsia="zh-CN"/>
        </w:rPr>
        <w:t>2020.10.2</w:t>
      </w:r>
    </w:p>
    <w:p>
      <w:pPr>
        <w:keepNext w:val="0"/>
        <w:keepLines w:val="0"/>
        <w:pageBreakBefore w:val="0"/>
        <w:widowControl w:val="0"/>
        <w:kinsoku/>
        <w:wordWrap/>
        <w:overflowPunct/>
        <w:topLinePunct w:val="0"/>
        <w:autoSpaceDE/>
        <w:autoSpaceDN/>
        <w:bidi w:val="0"/>
        <w:adjustRightInd/>
        <w:spacing w:line="400" w:lineRule="exact"/>
        <w:ind w:left="783" w:hanging="783" w:hangingChars="300"/>
        <w:textAlignment w:val="auto"/>
        <w:rPr>
          <w:rFonts w:hint="eastAsia"/>
          <w:b/>
          <w:sz w:val="26"/>
          <w:szCs w:val="26"/>
        </w:rPr>
      </w:pPr>
    </w:p>
    <w:p>
      <w:pPr>
        <w:keepNext w:val="0"/>
        <w:keepLines w:val="0"/>
        <w:pageBreakBefore w:val="0"/>
        <w:widowControl w:val="0"/>
        <w:kinsoku/>
        <w:wordWrap/>
        <w:overflowPunct/>
        <w:topLinePunct w:val="0"/>
        <w:autoSpaceDE/>
        <w:autoSpaceDN/>
        <w:bidi w:val="0"/>
        <w:adjustRightInd/>
        <w:spacing w:line="400" w:lineRule="exact"/>
        <w:ind w:left="783" w:hanging="783" w:hangingChars="300"/>
        <w:textAlignment w:val="auto"/>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b/>
          <w:sz w:val="21"/>
          <w:u w:val="single"/>
        </w:rPr>
      </w:pP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b/>
          <w:sz w:val="26"/>
          <w:szCs w:val="26"/>
        </w:rPr>
      </w:pPr>
    </w:p>
    <w:p>
      <w:pPr>
        <w:keepNext w:val="0"/>
        <w:keepLines w:val="0"/>
        <w:pageBreakBefore w:val="0"/>
        <w:widowControl w:val="0"/>
        <w:kinsoku/>
        <w:wordWrap/>
        <w:overflowPunct/>
        <w:topLinePunct w:val="0"/>
        <w:autoSpaceDE/>
        <w:autoSpaceDN/>
        <w:bidi w:val="0"/>
        <w:adjustRightInd/>
        <w:spacing w:line="400" w:lineRule="exact"/>
        <w:textAlignment w:val="auto"/>
        <w:rPr>
          <w:b/>
          <w:sz w:val="26"/>
          <w:szCs w:val="26"/>
        </w:rPr>
      </w:pPr>
      <w:r>
        <w:rPr>
          <w:rFonts w:hint="eastAsia"/>
          <w:b/>
          <w:sz w:val="26"/>
          <w:szCs w:val="26"/>
        </w:rPr>
        <w:t>十五、认证评定与批准</w:t>
      </w:r>
    </w:p>
    <w:p>
      <w:pPr>
        <w:keepNext w:val="0"/>
        <w:keepLines w:val="0"/>
        <w:pageBreakBefore w:val="0"/>
        <w:widowControl w:val="0"/>
        <w:numPr>
          <w:ilvl w:val="0"/>
          <w:numId w:val="7"/>
        </w:numPr>
        <w:kinsoku/>
        <w:wordWrap/>
        <w:overflowPunct/>
        <w:topLinePunct w:val="0"/>
        <w:autoSpaceDE/>
        <w:autoSpaceDN/>
        <w:bidi w:val="0"/>
        <w:adjustRightInd/>
        <w:spacing w:line="400" w:lineRule="exact"/>
        <w:textAlignment w:val="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keepNext w:val="0"/>
        <w:keepLines w:val="0"/>
        <w:pageBreakBefore w:val="0"/>
        <w:widowControl w:val="0"/>
        <w:kinsoku/>
        <w:wordWrap/>
        <w:overflowPunct/>
        <w:topLinePunct w:val="0"/>
        <w:autoSpaceDE/>
        <w:autoSpaceDN/>
        <w:bidi w:val="0"/>
        <w:adjustRightInd/>
        <w:spacing w:line="400" w:lineRule="exact"/>
        <w:ind w:left="600"/>
        <w:textAlignment w:val="auto"/>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p>
    <w:p>
      <w:pPr>
        <w:keepNext w:val="0"/>
        <w:keepLines w:val="0"/>
        <w:pageBreakBefore w:val="0"/>
        <w:widowControl w:val="0"/>
        <w:numPr>
          <w:ilvl w:val="0"/>
          <w:numId w:val="7"/>
        </w:numPr>
        <w:kinsoku/>
        <w:wordWrap/>
        <w:overflowPunct/>
        <w:topLinePunct w:val="0"/>
        <w:autoSpaceDE/>
        <w:autoSpaceDN/>
        <w:bidi w:val="0"/>
        <w:adjustRightInd/>
        <w:spacing w:line="400" w:lineRule="exact"/>
        <w:textAlignment w:val="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keepNext w:val="0"/>
        <w:keepLines w:val="0"/>
        <w:pageBreakBefore w:val="0"/>
        <w:widowControl w:val="0"/>
        <w:kinsoku/>
        <w:wordWrap/>
        <w:overflowPunct/>
        <w:topLinePunct w:val="0"/>
        <w:autoSpaceDE/>
        <w:autoSpaceDN/>
        <w:bidi w:val="0"/>
        <w:adjustRightInd/>
        <w:spacing w:line="400" w:lineRule="exact"/>
        <w:ind w:left="600"/>
        <w:textAlignment w:val="auto"/>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p>
    <w:p>
      <w:pPr>
        <w:keepNext w:val="0"/>
        <w:keepLines w:val="0"/>
        <w:pageBreakBefore w:val="0"/>
        <w:widowControl w:val="0"/>
        <w:kinsoku/>
        <w:wordWrap/>
        <w:overflowPunct/>
        <w:topLinePunct w:val="0"/>
        <w:autoSpaceDE/>
        <w:autoSpaceDN/>
        <w:bidi w:val="0"/>
        <w:adjustRightInd/>
        <w:snapToGrid w:val="0"/>
        <w:spacing w:before="163" w:beforeLines="50" w:after="163" w:afterLines="50" w:line="400" w:lineRule="exact"/>
        <w:textAlignment w:val="auto"/>
        <w:rPr>
          <w:rFonts w:hint="eastAsia"/>
          <w:b/>
          <w:sz w:val="26"/>
          <w:szCs w:val="26"/>
        </w:rPr>
      </w:pPr>
    </w:p>
    <w:p>
      <w:pPr>
        <w:keepNext w:val="0"/>
        <w:keepLines w:val="0"/>
        <w:pageBreakBefore w:val="0"/>
        <w:widowControl w:val="0"/>
        <w:kinsoku/>
        <w:wordWrap/>
        <w:overflowPunct/>
        <w:topLinePunct w:val="0"/>
        <w:autoSpaceDE/>
        <w:autoSpaceDN/>
        <w:bidi w:val="0"/>
        <w:adjustRightInd/>
        <w:snapToGrid w:val="0"/>
        <w:spacing w:before="163" w:beforeLines="50" w:after="163" w:afterLines="50" w:line="400" w:lineRule="exact"/>
        <w:textAlignment w:val="auto"/>
        <w:rPr>
          <w:b/>
          <w:sz w:val="26"/>
          <w:szCs w:val="26"/>
        </w:rPr>
      </w:pPr>
      <w:r>
        <w:rPr>
          <w:rFonts w:hint="eastAsia"/>
          <w:b/>
          <w:sz w:val="26"/>
          <w:szCs w:val="26"/>
        </w:rPr>
        <w:t>十六、审核报告的发放范围</w:t>
      </w:r>
    </w:p>
    <w:p>
      <w:pPr>
        <w:keepNext w:val="0"/>
        <w:keepLines w:val="0"/>
        <w:pageBreakBefore w:val="0"/>
        <w:widowControl w:val="0"/>
        <w:kinsoku/>
        <w:wordWrap/>
        <w:overflowPunct/>
        <w:topLinePunct w:val="0"/>
        <w:autoSpaceDE/>
        <w:autoSpaceDN/>
        <w:bidi w:val="0"/>
        <w:adjustRightInd/>
        <w:snapToGrid w:val="0"/>
        <w:spacing w:line="400" w:lineRule="exact"/>
        <w:ind w:firstLine="316" w:firstLineChars="150"/>
        <w:textAlignment w:val="auto"/>
        <w:rPr>
          <w:b/>
          <w:sz w:val="21"/>
        </w:rPr>
      </w:pPr>
      <w:r>
        <w:rPr>
          <w:rFonts w:hint="eastAsia"/>
          <w:b/>
          <w:sz w:val="21"/>
        </w:rPr>
        <w:t>受审核方</w:t>
      </w:r>
      <w:r>
        <w:rPr>
          <w:rFonts w:hint="eastAsia"/>
          <w:b/>
          <w:sz w:val="21"/>
          <w:lang w:val="en-US" w:eastAsia="zh-CN"/>
        </w:rPr>
        <w:t xml:space="preserve">   </w:t>
      </w:r>
      <w:r>
        <w:rPr>
          <w:b/>
          <w:sz w:val="21"/>
        </w:rPr>
        <w:t xml:space="preserve">                    1</w:t>
      </w:r>
      <w:r>
        <w:rPr>
          <w:rFonts w:hint="eastAsia"/>
          <w:b/>
          <w:sz w:val="21"/>
        </w:rPr>
        <w:t>份</w:t>
      </w:r>
    </w:p>
    <w:p>
      <w:pPr>
        <w:keepNext w:val="0"/>
        <w:keepLines w:val="0"/>
        <w:pageBreakBefore w:val="0"/>
        <w:widowControl w:val="0"/>
        <w:kinsoku/>
        <w:wordWrap/>
        <w:overflowPunct/>
        <w:topLinePunct w:val="0"/>
        <w:autoSpaceDE/>
        <w:autoSpaceDN/>
        <w:bidi w:val="0"/>
        <w:adjustRightInd/>
        <w:snapToGrid w:val="0"/>
        <w:spacing w:line="400" w:lineRule="exact"/>
        <w:ind w:firstLine="316" w:firstLineChars="150"/>
        <w:textAlignment w:val="auto"/>
        <w:rPr>
          <w:b/>
          <w:sz w:val="21"/>
        </w:rPr>
      </w:pPr>
      <w:r>
        <w:rPr>
          <w:rFonts w:hint="eastAsia"/>
          <w:b/>
          <w:sz w:val="21"/>
        </w:rPr>
        <w:t>北京国标联合认证有限公司</w:t>
      </w:r>
      <w:r>
        <w:rPr>
          <w:rFonts w:hint="eastAsia"/>
          <w:b/>
          <w:sz w:val="21"/>
          <w:lang w:val="en-US" w:eastAsia="zh-CN"/>
        </w:rPr>
        <w:t xml:space="preserve">       </w:t>
      </w:r>
      <w:r>
        <w:rPr>
          <w:b/>
          <w:sz w:val="21"/>
        </w:rPr>
        <w:t>1</w:t>
      </w:r>
      <w:r>
        <w:rPr>
          <w:rFonts w:hint="eastAsia"/>
          <w:b/>
          <w:sz w:val="21"/>
        </w:rPr>
        <w:t>份</w:t>
      </w:r>
    </w:p>
    <w:p>
      <w:pPr>
        <w:keepNext w:val="0"/>
        <w:keepLines w:val="0"/>
        <w:pageBreakBefore w:val="0"/>
        <w:widowControl w:val="0"/>
        <w:kinsoku/>
        <w:wordWrap/>
        <w:overflowPunct/>
        <w:topLinePunct w:val="0"/>
        <w:autoSpaceDE/>
        <w:autoSpaceDN/>
        <w:bidi w:val="0"/>
        <w:adjustRightInd/>
        <w:snapToGrid w:val="0"/>
        <w:spacing w:before="163" w:beforeLines="50" w:after="163" w:afterLines="50" w:line="400" w:lineRule="exact"/>
        <w:textAlignment w:val="auto"/>
        <w:rPr>
          <w:rFonts w:ascii="宋体"/>
          <w:b/>
          <w:sz w:val="16"/>
          <w:szCs w:val="16"/>
        </w:rPr>
      </w:pPr>
      <w:r>
        <w:rPr>
          <w:rFonts w:hint="eastAsia"/>
          <w:b/>
          <w:sz w:val="26"/>
          <w:szCs w:val="26"/>
        </w:rPr>
        <w:t>十七、</w:t>
      </w:r>
      <w:r>
        <w:rPr>
          <w:rFonts w:hint="eastAsia" w:ascii="宋体" w:hAnsi="宋体"/>
          <w:b/>
          <w:sz w:val="26"/>
          <w:szCs w:val="26"/>
        </w:rPr>
        <w:t>附件</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b/>
          <w:bCs/>
          <w:sz w:val="18"/>
          <w:szCs w:val="18"/>
        </w:rPr>
      </w:pPr>
      <w:r>
        <w:rPr>
          <w:b/>
          <w:bCs/>
          <w:sz w:val="21"/>
          <w:szCs w:val="28"/>
        </w:rPr>
        <w:t>2.</w:t>
      </w:r>
      <w:r>
        <w:rPr>
          <w:rFonts w:hint="eastAsia" w:ascii="宋体" w:hAnsi="宋体"/>
          <w:b/>
          <w:bCs/>
          <w:sz w:val="21"/>
          <w:szCs w:val="28"/>
        </w:rPr>
        <w:t>不符合报告</w:t>
      </w:r>
    </w:p>
    <w:p>
      <w:pPr>
        <w:keepNext w:val="0"/>
        <w:keepLines w:val="0"/>
        <w:pageBreakBefore w:val="0"/>
        <w:widowControl w:val="0"/>
        <w:kinsoku/>
        <w:wordWrap/>
        <w:overflowPunct/>
        <w:topLinePunct w:val="0"/>
        <w:autoSpaceDE/>
        <w:autoSpaceDN/>
        <w:bidi w:val="0"/>
        <w:adjustRightInd/>
        <w:spacing w:line="400" w:lineRule="exact"/>
        <w:textAlignment w:val="auto"/>
        <w:rPr>
          <w:b/>
          <w:bCs/>
          <w:sz w:val="16"/>
          <w:szCs w:val="16"/>
        </w:rPr>
      </w:pPr>
      <w:r>
        <w:rPr>
          <w:b/>
          <w:bCs/>
          <w:sz w:val="21"/>
          <w:szCs w:val="28"/>
        </w:rPr>
        <w:t>3.</w:t>
      </w:r>
      <w:r>
        <w:rPr>
          <w:rFonts w:hint="eastAsia" w:ascii="宋体" w:hAnsi="宋体"/>
          <w:b/>
          <w:bCs/>
          <w:sz w:val="21"/>
          <w:szCs w:val="28"/>
        </w:rPr>
        <w:t>其他</w:t>
      </w:r>
    </w:p>
    <w:p>
      <w:pPr>
        <w:keepNext w:val="0"/>
        <w:keepLines w:val="0"/>
        <w:pageBreakBefore w:val="0"/>
        <w:widowControl w:val="0"/>
        <w:kinsoku/>
        <w:wordWrap/>
        <w:overflowPunct/>
        <w:topLinePunct w:val="0"/>
        <w:autoSpaceDE/>
        <w:autoSpaceDN/>
        <w:bidi w:val="0"/>
        <w:adjustRightInd/>
        <w:spacing w:before="163" w:beforeLines="50" w:after="163" w:afterLines="50" w:line="400" w:lineRule="exact"/>
        <w:textAlignment w:val="auto"/>
        <w:rPr>
          <w:rFonts w:ascii="宋体"/>
          <w:b/>
          <w:sz w:val="26"/>
          <w:szCs w:val="26"/>
        </w:rPr>
      </w:pPr>
      <w:r>
        <w:rPr>
          <w:rFonts w:hint="eastAsia" w:ascii="宋体" w:hAnsi="宋体"/>
          <w:b/>
          <w:sz w:val="26"/>
          <w:szCs w:val="26"/>
        </w:rPr>
        <w:t>十八、填表说明</w:t>
      </w:r>
    </w:p>
    <w:p>
      <w:pPr>
        <w:keepNext w:val="0"/>
        <w:keepLines w:val="0"/>
        <w:pageBreakBefore w:val="0"/>
        <w:widowControl w:val="0"/>
        <w:kinsoku/>
        <w:wordWrap/>
        <w:overflowPunct/>
        <w:topLinePunct w:val="0"/>
        <w:autoSpaceDE/>
        <w:autoSpaceDN/>
        <w:bidi w:val="0"/>
        <w:adjustRightInd/>
        <w:spacing w:line="400" w:lineRule="exact"/>
        <w:ind w:left="316" w:hanging="316" w:hangingChars="150"/>
        <w:textAlignment w:val="auto"/>
        <w:rPr>
          <w:b/>
          <w:bCs/>
          <w:sz w:val="21"/>
        </w:rPr>
      </w:pPr>
      <w:r>
        <w:rPr>
          <w:b/>
          <w:bCs/>
          <w:sz w:val="21"/>
        </w:rPr>
        <w:t xml:space="preserve">1. </w:t>
      </w:r>
      <w:r>
        <w:rPr>
          <w:rFonts w:hint="eastAsia"/>
          <w:b/>
          <w:bCs/>
          <w:sz w:val="21"/>
        </w:rPr>
        <w:t>本审核报告适用于单体系审核，也适用于多体系结合审核情况</w:t>
      </w:r>
    </w:p>
    <w:p>
      <w:pPr>
        <w:keepNext w:val="0"/>
        <w:keepLines w:val="0"/>
        <w:pageBreakBefore w:val="0"/>
        <w:widowControl w:val="0"/>
        <w:kinsoku/>
        <w:wordWrap/>
        <w:overflowPunct/>
        <w:topLinePunct w:val="0"/>
        <w:autoSpaceDE/>
        <w:autoSpaceDN/>
        <w:bidi w:val="0"/>
        <w:adjustRightInd/>
        <w:spacing w:line="400" w:lineRule="exact"/>
        <w:ind w:left="316" w:hanging="316" w:hangingChars="150"/>
        <w:textAlignment w:val="auto"/>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keepNext w:val="0"/>
        <w:keepLines w:val="0"/>
        <w:pageBreakBefore w:val="0"/>
        <w:widowControl w:val="0"/>
        <w:kinsoku/>
        <w:wordWrap/>
        <w:overflowPunct/>
        <w:topLinePunct w:val="0"/>
        <w:autoSpaceDE/>
        <w:autoSpaceDN/>
        <w:bidi w:val="0"/>
        <w:adjustRightInd/>
        <w:spacing w:line="400" w:lineRule="exact"/>
        <w:ind w:left="215" w:hanging="215" w:hangingChars="102"/>
        <w:textAlignment w:val="auto"/>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keepNext w:val="0"/>
        <w:keepLines w:val="0"/>
        <w:pageBreakBefore w:val="0"/>
        <w:widowControl w:val="0"/>
        <w:kinsoku/>
        <w:wordWrap/>
        <w:overflowPunct/>
        <w:topLinePunct w:val="0"/>
        <w:autoSpaceDE/>
        <w:autoSpaceDN/>
        <w:bidi w:val="0"/>
        <w:adjustRightInd/>
        <w:spacing w:line="400" w:lineRule="exact"/>
        <w:ind w:left="316" w:hanging="316" w:hangingChars="150"/>
        <w:textAlignment w:val="auto"/>
        <w:rPr>
          <w:b/>
          <w:sz w:val="21"/>
        </w:rPr>
      </w:pPr>
      <w:r>
        <w:rPr>
          <w:b/>
          <w:sz w:val="21"/>
        </w:rPr>
        <w:t xml:space="preserve">4. </w:t>
      </w:r>
      <w:r>
        <w:rPr>
          <w:rFonts w:hint="eastAsia"/>
          <w:b/>
          <w:sz w:val="21"/>
        </w:rPr>
        <w:t>公正性声明和审核报告签字处需本人亲笔签名。</w:t>
      </w:r>
    </w:p>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b/>
          <w:sz w:val="21"/>
          <w:szCs w:val="21"/>
        </w:rPr>
      </w:pPr>
    </w:p>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ascii="方正仿宋简体" w:eastAsia="方正仿宋简体"/>
          <w:b/>
        </w:rPr>
      </w:pPr>
      <w:r>
        <w:rPr>
          <w:rFonts w:hint="eastAsia" w:ascii="宋体" w:hAnsi="宋体"/>
          <w:b/>
          <w:sz w:val="26"/>
          <w:szCs w:val="26"/>
        </w:rPr>
        <w:t>十九、审核基于对可获得信息的抽样过程的免责声明</w:t>
      </w:r>
    </w:p>
    <w:p>
      <w:pPr>
        <w:keepNext w:val="0"/>
        <w:keepLines w:val="0"/>
        <w:pageBreakBefore w:val="0"/>
        <w:widowControl w:val="0"/>
        <w:kinsoku/>
        <w:wordWrap/>
        <w:overflowPunct/>
        <w:topLinePunct w:val="0"/>
        <w:autoSpaceDE/>
        <w:autoSpaceDN/>
        <w:bidi w:val="0"/>
        <w:adjustRightInd/>
        <w:snapToGrid w:val="0"/>
        <w:spacing w:line="400" w:lineRule="exact"/>
        <w:ind w:firstLine="310" w:firstLineChars="147"/>
        <w:jc w:val="left"/>
        <w:textAlignment w:val="auto"/>
        <w:rPr>
          <w:b/>
          <w:szCs w:val="24"/>
        </w:rPr>
      </w:pPr>
      <w:r>
        <w:rPr>
          <w:rFonts w:hint="eastAsia"/>
          <w:b/>
          <w:sz w:val="21"/>
          <w:szCs w:val="22"/>
        </w:rPr>
        <w:t>本次审核基于抽样检查，因此，不可能包含受审核方管理体系覆盖的产品或服务的全部活动。仍可能有未发现的不符合项存在于目前管理体系的运行中。</w:t>
      </w:r>
    </w:p>
    <w:p>
      <w:pPr>
        <w:keepNext w:val="0"/>
        <w:keepLines w:val="0"/>
        <w:pageBreakBefore w:val="0"/>
        <w:widowControl w:val="0"/>
        <w:kinsoku/>
        <w:wordWrap/>
        <w:overflowPunct/>
        <w:topLinePunct w:val="0"/>
        <w:autoSpaceDE/>
        <w:autoSpaceDN/>
        <w:bidi w:val="0"/>
        <w:adjustRightInd/>
        <w:spacing w:line="400" w:lineRule="exact"/>
        <w:textAlignment w:val="auto"/>
      </w:pPr>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ind w:firstLine="720" w:firstLineChars="300"/>
    </w:pPr>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7908F7"/>
    <w:multiLevelType w:val="singleLevel"/>
    <w:tmpl w:val="A57908F7"/>
    <w:lvl w:ilvl="0" w:tentative="0">
      <w:start w:val="2"/>
      <w:numFmt w:val="decimal"/>
      <w:suff w:val="nothing"/>
      <w:lvlText w:val="%1、"/>
      <w:lvlJc w:val="left"/>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04016EC4"/>
    <w:multiLevelType w:val="singleLevel"/>
    <w:tmpl w:val="04016EC4"/>
    <w:lvl w:ilvl="0" w:tentative="0">
      <w:start w:val="2"/>
      <w:numFmt w:val="decimal"/>
      <w:lvlText w:val="%1."/>
      <w:lvlJc w:val="left"/>
      <w:pPr>
        <w:tabs>
          <w:tab w:val="left" w:pos="312"/>
        </w:tabs>
      </w:pPr>
    </w:lvl>
  </w:abstractNum>
  <w:abstractNum w:abstractNumId="3">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5F73FC62"/>
    <w:multiLevelType w:val="singleLevel"/>
    <w:tmpl w:val="5F73FC62"/>
    <w:lvl w:ilvl="0" w:tentative="0">
      <w:start w:val="9"/>
      <w:numFmt w:val="decimal"/>
      <w:suff w:val="space"/>
      <w:lvlText w:val="%1."/>
      <w:lvlJc w:val="left"/>
    </w:lvl>
  </w:abstractNum>
  <w:abstractNum w:abstractNumId="5">
    <w:nsid w:val="777BC977"/>
    <w:multiLevelType w:val="singleLevel"/>
    <w:tmpl w:val="777BC977"/>
    <w:lvl w:ilvl="0" w:tentative="0">
      <w:start w:val="3"/>
      <w:numFmt w:val="decimal"/>
      <w:lvlText w:val="%1."/>
      <w:lvlJc w:val="left"/>
      <w:pPr>
        <w:tabs>
          <w:tab w:val="left" w:pos="312"/>
        </w:tabs>
      </w:pPr>
    </w:lvl>
  </w:abstractNum>
  <w:abstractNum w:abstractNumId="6">
    <w:nsid w:val="7BC294AD"/>
    <w:multiLevelType w:val="singleLevel"/>
    <w:tmpl w:val="7BC294AD"/>
    <w:lvl w:ilvl="0" w:tentative="0">
      <w:start w:val="5"/>
      <w:numFmt w:val="decimal"/>
      <w:suff w:val="space"/>
      <w:lvlText w:val="%1."/>
      <w:lvlJc w:val="left"/>
    </w:lvl>
  </w:abstractNum>
  <w:num w:numId="1">
    <w:abstractNumId w:val="0"/>
  </w:num>
  <w:num w:numId="2">
    <w:abstractNumId w:val="5"/>
  </w:num>
  <w:num w:numId="3">
    <w:abstractNumId w:val="3"/>
  </w:num>
  <w:num w:numId="4">
    <w:abstractNumId w:val="2"/>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1DC0550"/>
    <w:rsid w:val="31BB1B25"/>
    <w:rsid w:val="338829EE"/>
    <w:rsid w:val="3CCB0D20"/>
    <w:rsid w:val="46831D95"/>
    <w:rsid w:val="4FEB7F6F"/>
    <w:rsid w:val="51C6468D"/>
    <w:rsid w:val="60877553"/>
    <w:rsid w:val="75874D83"/>
    <w:rsid w:val="78CB3798"/>
    <w:rsid w:val="7A4507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semiHidden/>
    <w:uiPriority w:val="99"/>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unhideWhenUsed/>
    <w:qFormat/>
    <w:uiPriority w:val="99"/>
    <w:rPr>
      <w:color w:val="0000FF"/>
      <w:u w:val="single"/>
    </w:r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semiHidden/>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3740</Characters>
  <Lines>31</Lines>
  <Paragraphs>8</Paragraphs>
  <TotalTime>0</TotalTime>
  <ScaleCrop>false</ScaleCrop>
  <LinksUpToDate>false</LinksUpToDate>
  <CharactersWithSpaces>4387</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至鱼</cp:lastModifiedBy>
  <cp:lastPrinted>2019-11-04T05:22:00Z</cp:lastPrinted>
  <dcterms:modified xsi:type="dcterms:W3CDTF">2020-10-22T03:42:08Z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