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6195" cy="9004935"/>
            <wp:effectExtent l="0" t="0" r="1905" b="12065"/>
            <wp:docPr id="4" name="图片 4" descr="96156774bfc6fb823d15ba254b4fb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156774bfc6fb823d15ba254b4fb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0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3020" cy="9028430"/>
            <wp:effectExtent l="0" t="0" r="5080" b="1270"/>
            <wp:docPr id="5" name="图片 5" descr="f10faa451d0680178dc8d1999d8e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0faa451d0680178dc8d1999d8eeb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02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 w:val="36"/>
        </w:rPr>
        <w:t>培训有效性评价记录</w:t>
      </w:r>
      <w:r>
        <w:rPr>
          <w:rFonts w:hint="eastAsia" w:ascii="黑体" w:eastAsia="黑体"/>
          <w:szCs w:val="21"/>
        </w:rPr>
        <w:t xml:space="preserve">  </w:t>
      </w:r>
    </w:p>
    <w:p>
      <w:pPr>
        <w:jc w:val="center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52"/>
        <w:gridCol w:w="1800"/>
        <w:gridCol w:w="4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培训时间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27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培训课程</w:t>
            </w:r>
          </w:p>
        </w:tc>
        <w:tc>
          <w:tcPr>
            <w:tcW w:w="4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GB/T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宋体" w:hAnsi="宋体"/>
                <w:sz w:val="24"/>
                <w:szCs w:val="24"/>
              </w:rPr>
              <w:t>001</w:t>
            </w:r>
            <w:r>
              <w:rPr>
                <w:rFonts w:hint="eastAsia" w:ascii="宋体" w:hAnsi="宋体"/>
                <w:sz w:val="24"/>
                <w:szCs w:val="24"/>
              </w:rPr>
              <w:t>-201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标准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5.2</w:t>
            </w:r>
            <w:r>
              <w:rPr>
                <w:rFonts w:hint="eastAsia" w:ascii="宋体" w:hAnsi="宋体"/>
                <w:sz w:val="24"/>
                <w:szCs w:val="24"/>
              </w:rPr>
              <w:t>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培训老师</w:t>
            </w:r>
          </w:p>
        </w:tc>
        <w:tc>
          <w:tcPr>
            <w:tcW w:w="8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姜老师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培训人员</w:t>
            </w:r>
          </w:p>
        </w:tc>
        <w:tc>
          <w:tcPr>
            <w:tcW w:w="8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培训内容</w:t>
            </w:r>
          </w:p>
        </w:tc>
        <w:tc>
          <w:tcPr>
            <w:tcW w:w="8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标准7.1.5.2条款“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当要求测量溯源时，或组织认为测量溯源是信任测量结果有效的前提时，则测量设备应：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a) 对照能溯源到国际或国家标准的测量标准，按照规定的时间间隔或在使用前进行校准和（或）检定（验证），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有效性评价</w:t>
            </w:r>
          </w:p>
        </w:tc>
        <w:tc>
          <w:tcPr>
            <w:tcW w:w="8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通过这次培训使对公司的相关人员对</w:t>
            </w:r>
            <w:r>
              <w:rPr>
                <w:rFonts w:hint="eastAsia"/>
                <w:szCs w:val="22"/>
                <w:lang w:val="en-US" w:eastAsia="zh-CN"/>
              </w:rPr>
              <w:t>职业健康安全</w:t>
            </w:r>
            <w:r>
              <w:rPr>
                <w:rFonts w:hint="eastAsia"/>
                <w:szCs w:val="22"/>
              </w:rPr>
              <w:t>管理体系有了比较系统的认识，对于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标准7.1.5.2条款“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当要求测量溯源时，或组织认为测量溯源是信任测量结果有效的前提时，则测量设备应：a) 对照能溯源到国际或国家标准的测量标准，按照规定的时间间隔或在使用前进行校准和（或）检定（验证），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Cs w:val="22"/>
              </w:rPr>
              <w:t>加深的理解，特别是</w:t>
            </w:r>
            <w:r>
              <w:rPr>
                <w:rFonts w:hint="eastAsia"/>
                <w:szCs w:val="22"/>
                <w:lang w:val="en-US" w:eastAsia="zh-CN"/>
              </w:rPr>
              <w:t>按时对检测设备进行检定/校准</w:t>
            </w:r>
            <w:r>
              <w:rPr>
                <w:rFonts w:hint="eastAsia"/>
                <w:szCs w:val="22"/>
              </w:rPr>
              <w:t>有比较深的理解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10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评估结论：培训实施有效</w:t>
            </w:r>
          </w:p>
          <w:p>
            <w:pPr>
              <w:ind w:left="7560" w:hanging="7560" w:hangingChars="3600"/>
              <w:jc w:val="left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 xml:space="preserve">                                                                                  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 陈玉匣</w:t>
            </w:r>
            <w:r>
              <w:rPr>
                <w:rFonts w:hint="eastAsia"/>
                <w:szCs w:val="22"/>
              </w:rPr>
              <w:t>20</w:t>
            </w:r>
            <w:r>
              <w:rPr>
                <w:rFonts w:hint="eastAsia"/>
                <w:szCs w:val="22"/>
                <w:lang w:val="en-US" w:eastAsia="zh-CN"/>
              </w:rPr>
              <w:t>20.9.27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河北迪创家具有限公司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陈玉匣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6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现场审核发现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数显卡尺（0-150mm）、证号：JHJW18-8888、检定日期2018.8.23；钢直尺（500mm）、证号：JHJW18-8887、检定日期2018.8.23——均已过期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上述内容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标准7.1.5.2条款“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当要求测量溯源时，或组织认为测量溯源是信任测量结果有效的前提时，则测量设备应：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a) 对照能溯源到国际或国家标准的测量标准，按照规定的时间间隔或在使用前进行校准和（或）检定（验证），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7.1.5.2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姜小清、杨捷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周涛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陈建强</w:t>
            </w:r>
          </w:p>
          <w:p>
            <w:pPr>
              <w:spacing w:before="120" w:after="1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020.9.27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2020.9.27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纠正措施实施有效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周涛</w:t>
            </w:r>
            <w:r>
              <w:rPr>
                <w:rFonts w:hint="eastAsia" w:ascii="方正仿宋简体" w:eastAsia="方正仿宋简体"/>
                <w:b/>
              </w:rPr>
              <w:t xml:space="preserve">          日期：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lang w:val="en-US" w:eastAsia="zh-CN"/>
              </w:rPr>
              <w:t>2020.9.27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现场审核发现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数显卡尺；钢直尺”检定/校准日期均已过期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对数显卡尺、钢直尺进行检定/校准。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相关人员对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GB/T 19001:2016 idt ISO 9001:2015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标准7.1.5.2条款“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当要求测量溯源时，或组织认为测量溯源是信任测量结果有效的前提时，则测量设备应：a) 对照能溯源到国际或国家标准的测量标准，按照规定的时间间隔或在使用前进行校准和（或）检定（验证），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理解不透彻。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相关人员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进行培训，使其理解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GB/T 19001:2016 idt ISO 9001:2015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标准7.1.5.2条款“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当要求测量溯源时，或组织认为测量溯源是信任测量结果有效的前提时，则测量设备应：a) 对照能溯源到国际或国家标准的测量标准，按照规定的时间间隔或在使用前进行校准和（或）检定（验证），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对其它检测设备就inx检查，没有发现有过期的。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已经对检查设备进行送检，相关人员已经明确了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GB/T 19001:2016 idt ISO 9001:2015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标准7.1.5.2条款“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当要求测量溯源时，或组织认为测量溯源是信任测量结果有效的前提时，则测量设备应：a) 对照能溯源到国际或国家标准的测量标准，按照规定的时间间隔或在使用前进行校准和（或）检定（验证），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的要求；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>陈玉匣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2020.9.27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>陈玉匣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2020.9.27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37RSdUAAAAIAQAADwAA&#10;AAAAAAABACAAAAAiAAAAZHJzL2Rvd25yZXYueG1sUEsBAhQAFAAAAAgAh07iQNt5nZe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FOG9Y1AAAAAcBAAAPAAAAAAAAAAEA&#10;IAAAACIAAABkcnMvZG93bnJldi54bWxQSwECFAAUAAAACACHTuJAZc7CBtoBAACVAwAADgAAAAAA&#10;AAABACAAAAAj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13450"/>
    <w:rsid w:val="2974789B"/>
    <w:rsid w:val="3A305AB7"/>
    <w:rsid w:val="4F117002"/>
    <w:rsid w:val="591A60F2"/>
    <w:rsid w:val="59975EF8"/>
    <w:rsid w:val="6D594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开门大吉～ISO认证服务</cp:lastModifiedBy>
  <cp:lastPrinted>2019-05-13T03:02:00Z</cp:lastPrinted>
  <dcterms:modified xsi:type="dcterms:W3CDTF">2020-09-27T01:15:59Z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