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宝鸡欣龙消失泡模制造有限公司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14.02.01,14.02.02,14.02.03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强兴</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pStyle w:val="13"/>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宝鸡欣龙消失泡模制造有限公司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7" w:name="注册地址"/>
            <w:r>
              <w:rPr>
                <w:rFonts w:ascii="宋体" w:hAnsi="宋体"/>
                <w:b/>
                <w:color w:val="000000" w:themeColor="text1"/>
                <w:sz w:val="20"/>
                <w:szCs w:val="20"/>
              </w:rPr>
              <w:t>陕西省宝鸡市陈仓区虢镇高家堎(原村砖厂)</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721399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陕西省宝鸡市陈仓区虢镇高家堎(原村砖厂)</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721399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高帆</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18091768797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高帆</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高帆</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消失模、泡沫制品（泡沫板材、泡沫包装材料）的加工及销售。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center"/>
          </w:tcPr>
          <w:p>
            <w:pPr>
              <w:spacing w:line="320" w:lineRule="exact"/>
              <w:jc w:val="center"/>
              <w:rPr>
                <w:rFonts w:ascii="宋体" w:hAnsi="宋体"/>
                <w:b/>
                <w:color w:val="000000" w:themeColor="text1"/>
                <w:sz w:val="20"/>
                <w:szCs w:val="20"/>
              </w:rPr>
            </w:pPr>
            <w:bookmarkStart w:id="18" w:name="专业代码"/>
            <w:r>
              <w:rPr>
                <w:rFonts w:ascii="宋体" w:hAnsi="宋体"/>
                <w:b/>
                <w:color w:val="000000" w:themeColor="text1"/>
                <w:sz w:val="20"/>
                <w:szCs w:val="20"/>
              </w:rPr>
              <w:t>14.02.01;14.02.02;14.02.03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 xml:space="preserve">2020-03-01 </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spacing w:line="360" w:lineRule="auto"/>
              <w:jc w:val="lef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体系区域</w:t>
            </w:r>
            <w:r>
              <w:rPr>
                <w:rFonts w:hint="eastAsia" w:ascii="宋体" w:hAnsi="宋体"/>
                <w:b/>
                <w:color w:val="000000" w:themeColor="text1"/>
                <w:sz w:val="20"/>
                <w:szCs w:val="20"/>
                <w:lang w:eastAsia="zh-CN"/>
              </w:rPr>
              <w:t>：</w:t>
            </w:r>
            <w:r>
              <w:rPr>
                <w:rFonts w:ascii="宋体" w:hAnsi="宋体"/>
                <w:b/>
                <w:color w:val="000000" w:themeColor="text1"/>
                <w:sz w:val="20"/>
                <w:szCs w:val="20"/>
              </w:rPr>
              <w:t>陕西省宝鸡市陈仓区虢镇高家堎(原村砖厂)</w:t>
            </w:r>
          </w:p>
          <w:p>
            <w:pPr>
              <w:widowControl/>
              <w:spacing w:line="360" w:lineRule="auto"/>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spacing w:line="360" w:lineRule="auto"/>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7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932"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991" w:type="dxa"/>
            <w:vAlign w:val="top"/>
          </w:tcPr>
          <w:p>
            <w:pPr>
              <w:widowControl/>
              <w:spacing w:line="360" w:lineRule="auto"/>
              <w:jc w:val="left"/>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sz w:val="21"/>
                <w:szCs w:val="21"/>
              </w:rPr>
              <w:t>高管层</w:t>
            </w:r>
          </w:p>
        </w:tc>
        <w:tc>
          <w:tcPr>
            <w:tcW w:w="7932" w:type="dxa"/>
            <w:vAlign w:val="top"/>
          </w:tcPr>
          <w:p>
            <w:pPr>
              <w:widowControl/>
              <w:spacing w:line="360" w:lineRule="auto"/>
              <w:jc w:val="left"/>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sz w:val="21"/>
                <w:szCs w:val="21"/>
              </w:rPr>
              <w:t>内外部环境、风险识别、资源支持、管理评审等，与管理层有关的质量管理活动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Align w:val="top"/>
          </w:tcPr>
          <w:p>
            <w:pPr>
              <w:widowControl/>
              <w:spacing w:line="360" w:lineRule="auto"/>
              <w:jc w:val="left"/>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sz w:val="21"/>
                <w:szCs w:val="21"/>
                <w:lang w:val="en-US" w:eastAsia="zh-CN"/>
              </w:rPr>
              <w:t>综合部</w:t>
            </w:r>
          </w:p>
        </w:tc>
        <w:tc>
          <w:tcPr>
            <w:tcW w:w="7932" w:type="dxa"/>
            <w:vAlign w:val="top"/>
          </w:tcPr>
          <w:p>
            <w:pPr>
              <w:widowControl/>
              <w:spacing w:line="360" w:lineRule="auto"/>
              <w:jc w:val="left"/>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sz w:val="21"/>
                <w:szCs w:val="21"/>
              </w:rPr>
              <w:t>人力资源管理过程；资源提供与管理过程控制；内外部信息交流过程；采购过程、销售过程、客户满意</w:t>
            </w:r>
            <w:r>
              <w:rPr>
                <w:rFonts w:hint="eastAsia" w:ascii="宋体" w:hAnsi="宋体" w:eastAsia="宋体" w:cs="Times New Roman"/>
                <w:b w:val="0"/>
                <w:bCs/>
                <w:color w:val="000000"/>
                <w:sz w:val="21"/>
                <w:szCs w:val="21"/>
                <w:lang w:eastAsia="zh-CN"/>
              </w:rPr>
              <w:t>、</w:t>
            </w:r>
            <w:r>
              <w:rPr>
                <w:rFonts w:hint="eastAsia" w:ascii="宋体" w:hAnsi="宋体" w:eastAsia="宋体" w:cs="Times New Roman"/>
                <w:b w:val="0"/>
                <w:bCs/>
                <w:color w:val="000000"/>
                <w:sz w:val="21"/>
                <w:szCs w:val="21"/>
              </w:rPr>
              <w:t>内审；内外部信息交流</w:t>
            </w:r>
            <w:r>
              <w:rPr>
                <w:rFonts w:hint="eastAsia" w:ascii="宋体" w:hAnsi="宋体" w:eastAsia="宋体" w:cs="Times New Roman"/>
                <w:b w:val="0"/>
                <w:bCs/>
                <w:color w:val="000000"/>
                <w:sz w:val="21"/>
                <w:szCs w:val="21"/>
                <w:lang w:val="en-US" w:eastAsia="zh-CN"/>
              </w:rPr>
              <w:t>等</w:t>
            </w:r>
            <w:r>
              <w:rPr>
                <w:rFonts w:hint="eastAsia" w:ascii="宋体" w:hAnsi="宋体" w:eastAsia="宋体" w:cs="Times New Roman"/>
                <w:b w:val="0"/>
                <w:bCs/>
                <w:color w:val="000000"/>
                <w:sz w:val="21"/>
                <w:szCs w:val="21"/>
              </w:rPr>
              <w:t>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Align w:val="top"/>
          </w:tcPr>
          <w:p>
            <w:pPr>
              <w:widowControl/>
              <w:spacing w:line="360" w:lineRule="auto"/>
              <w:jc w:val="left"/>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sz w:val="21"/>
                <w:szCs w:val="21"/>
              </w:rPr>
              <w:t>生产技术部</w:t>
            </w:r>
          </w:p>
        </w:tc>
        <w:tc>
          <w:tcPr>
            <w:tcW w:w="7932" w:type="dxa"/>
            <w:vAlign w:val="top"/>
          </w:tcPr>
          <w:p>
            <w:pPr>
              <w:widowControl/>
              <w:spacing w:line="360" w:lineRule="auto"/>
              <w:jc w:val="left"/>
              <w:rPr>
                <w:rFonts w:hint="eastAsia" w:ascii="宋体" w:hAnsi="宋体" w:eastAsia="宋体" w:cs="Times New Roman"/>
                <w:b w:val="0"/>
                <w:bCs/>
                <w:color w:val="000000"/>
                <w:kern w:val="2"/>
                <w:sz w:val="21"/>
                <w:szCs w:val="21"/>
                <w:lang w:val="en-US" w:eastAsia="zh-CN" w:bidi="ar-SA"/>
              </w:rPr>
            </w:pPr>
            <w:r>
              <w:rPr>
                <w:rFonts w:hint="eastAsia" w:ascii="宋体" w:hAnsi="宋体" w:eastAsia="宋体" w:cs="Times New Roman"/>
                <w:b w:val="0"/>
                <w:bCs/>
                <w:color w:val="000000"/>
                <w:sz w:val="21"/>
                <w:szCs w:val="21"/>
              </w:rPr>
              <w:t>基础设施、过程环境、生产实现过程、产品和服务的要求、</w:t>
            </w:r>
            <w:r>
              <w:rPr>
                <w:rFonts w:hint="eastAsia" w:ascii="宋体" w:hAnsi="宋体" w:eastAsia="宋体" w:cs="Times New Roman"/>
                <w:b w:val="0"/>
                <w:bCs/>
                <w:color w:val="000000"/>
                <w:sz w:val="21"/>
                <w:szCs w:val="21"/>
                <w:lang w:val="en-US" w:eastAsia="zh-CN"/>
              </w:rPr>
              <w:t>相关技术、工艺文件、技术档案管理、</w:t>
            </w:r>
            <w:r>
              <w:rPr>
                <w:rFonts w:hint="eastAsia" w:ascii="宋体" w:hAnsi="宋体" w:eastAsia="宋体" w:cs="Times New Roman"/>
                <w:b w:val="0"/>
                <w:bCs/>
                <w:color w:val="000000"/>
                <w:sz w:val="21"/>
                <w:szCs w:val="21"/>
              </w:rPr>
              <w:t>不合格品的管控、监视和测量管理体系运行过程控制；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pPr>
              <w:jc w:val="center"/>
              <w:rPr>
                <w:rFonts w:ascii="宋体" w:hAnsi="宋体"/>
                <w:b/>
                <w:color w:val="000000" w:themeColor="text1"/>
                <w:sz w:val="20"/>
                <w:szCs w:val="20"/>
              </w:rPr>
            </w:pPr>
          </w:p>
        </w:tc>
        <w:tc>
          <w:tcPr>
            <w:tcW w:w="7932"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pPr>
              <w:rPr>
                <w:rFonts w:ascii="宋体" w:hAnsi="宋体"/>
                <w:b/>
                <w:color w:val="000000" w:themeColor="text1"/>
                <w:szCs w:val="21"/>
              </w:rPr>
            </w:pPr>
          </w:p>
        </w:tc>
        <w:tc>
          <w:tcPr>
            <w:tcW w:w="7932"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r>
        <w:rPr>
          <w:rFonts w:hint="eastAsia"/>
          <w:b/>
          <w:color w:val="000000" w:themeColor="text1"/>
          <w:spacing w:val="-10"/>
          <w:szCs w:val="21"/>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360" w:lineRule="auto"/>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60" w:lineRule="auto"/>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360" w:lineRule="auto"/>
              <w:ind w:firstLine="420" w:firstLineChars="200"/>
            </w:pPr>
            <w:r>
              <w:rPr>
                <w:rFonts w:hint="eastAsia"/>
              </w:rPr>
              <w:t>公司识别并确定了利益相关方：顾客、外部供应商、员工及其他为本公司工作的人员或组织等。</w:t>
            </w:r>
          </w:p>
          <w:p>
            <w:pPr>
              <w:spacing w:line="360" w:lineRule="auto"/>
              <w:rPr>
                <w:b/>
                <w:color w:val="000000" w:themeColor="text1"/>
                <w:sz w:val="20"/>
                <w:szCs w:val="20"/>
              </w:rPr>
            </w:pPr>
            <w:r>
              <w:rPr>
                <w:rFonts w:hint="eastAsia"/>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rFonts w:ascii="宋体" w:hAnsi="宋体"/>
                <w:b/>
                <w:color w:val="000000" w:themeColor="text1"/>
                <w:sz w:val="20"/>
                <w:szCs w:val="20"/>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420" w:firstLineChars="200"/>
              <w:jc w:val="left"/>
              <w:rPr>
                <w:b/>
                <w:color w:val="000000" w:themeColor="text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szCs w:val="21"/>
              </w:rPr>
              <w:t>质量为本、顾客至上、持续改进、追求最佳。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b/>
                <w:color w:val="000000" w:themeColor="text1"/>
              </w:rPr>
            </w:pPr>
            <w:r>
              <w:rPr>
                <w:b/>
                <w:color w:val="000000" w:themeColor="text1"/>
              </w:rPr>
              <w:t>4、</w:t>
            </w:r>
            <w:r>
              <w:rPr>
                <w:rFonts w:hint="eastAsia"/>
                <w:b/>
                <w:color w:val="000000" w:themeColor="text1"/>
              </w:rPr>
              <w:t>风险识别与控制策划（QMS）</w:t>
            </w:r>
          </w:p>
          <w:p>
            <w:pPr>
              <w:spacing w:line="360" w:lineRule="auto"/>
              <w:ind w:firstLine="420" w:firstLineChars="200"/>
              <w:rPr>
                <w:b/>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sz w:val="20"/>
              </w:rPr>
              <w:t>消失模、泡沫制品（泡沫板材、泡沫包装材料）的加工及销售。</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无</w:t>
            </w:r>
            <w:r>
              <w:rPr>
                <w:rFonts w:hint="eastAsia" w:ascii="宋体" w:hAnsi="宋体"/>
                <w:b/>
                <w:color w:val="000000" w:themeColor="text1"/>
                <w:sz w:val="20"/>
                <w:szCs w:val="20"/>
                <w:u w:val="single"/>
              </w:rPr>
              <w:t xml:space="preserve">         ，</w:t>
            </w:r>
          </w:p>
          <w:p>
            <w:pPr>
              <w:tabs>
                <w:tab w:val="left" w:pos="540"/>
              </w:tabs>
              <w:spacing w:line="360" w:lineRule="auto"/>
              <w:ind w:left="201" w:hanging="201" w:hangingChars="100"/>
              <w:rPr>
                <w:rFonts w:hint="default" w:ascii="宋体" w:hAnsi="宋体"/>
                <w:b/>
                <w:color w:val="000000" w:themeColor="text1"/>
                <w:sz w:val="20"/>
                <w:szCs w:val="20"/>
                <w:u w:val="single"/>
                <w:lang w:val="en-US"/>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lang w:val="en-US" w:eastAsia="zh-CN"/>
              </w:rPr>
              <w:t>消失模产品成型过程</w:t>
            </w:r>
          </w:p>
          <w:p>
            <w:pPr>
              <w:tabs>
                <w:tab w:val="left" w:pos="540"/>
              </w:tabs>
              <w:spacing w:line="360" w:lineRule="auto"/>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u w:val="single"/>
                <w:lang w:val="en-US"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60" w:lineRule="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60" w:lineRule="auto"/>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60" w:lineRule="auto"/>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60" w:lineRule="auto"/>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3"/>
              <w:numPr>
                <w:ilvl w:val="0"/>
                <w:numId w:val="2"/>
              </w:numPr>
              <w:tabs>
                <w:tab w:val="left" w:pos="540"/>
              </w:tabs>
              <w:spacing w:line="360" w:lineRule="auto"/>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3"/>
              <w:numPr>
                <w:ilvl w:val="0"/>
                <w:numId w:val="2"/>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tabs>
                <w:tab w:val="left" w:pos="0"/>
              </w:tabs>
              <w:spacing w:line="360" w:lineRule="auto"/>
              <w:rPr>
                <w:b/>
                <w:color w:val="000000" w:themeColor="text1"/>
                <w:sz w:val="14"/>
                <w:szCs w:val="14"/>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val="0"/>
                <w:bCs/>
                <w:color w:val="000000" w:themeColor="text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60" w:lineRule="auto"/>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hint="eastAsia" w:ascii="宋体" w:hAnsi="宋体"/>
                <w:b w:val="0"/>
                <w:bCs/>
                <w:color w:val="000000" w:themeColor="text1"/>
              </w:rPr>
            </w:pPr>
            <w:r>
              <w:rPr>
                <w:rFonts w:hint="eastAsia" w:ascii="宋体" w:hAnsi="宋体"/>
                <w:b w:val="0"/>
                <w:bCs/>
                <w:color w:val="000000" w:themeColor="text1"/>
              </w:rPr>
              <w:t>顾客满意率95%，</w:t>
            </w:r>
          </w:p>
          <w:p>
            <w:pPr>
              <w:spacing w:line="360" w:lineRule="auto"/>
              <w:rPr>
                <w:rFonts w:hint="eastAsia" w:ascii="宋体" w:hAnsi="宋体"/>
                <w:b w:val="0"/>
                <w:bCs/>
                <w:color w:val="000000" w:themeColor="text1"/>
              </w:rPr>
            </w:pPr>
            <w:r>
              <w:rPr>
                <w:rFonts w:hint="eastAsia" w:ascii="宋体" w:hAnsi="宋体"/>
                <w:b w:val="0"/>
                <w:bCs/>
                <w:color w:val="000000" w:themeColor="text1"/>
              </w:rPr>
              <w:t>产品一次交验合格率≥95%；</w:t>
            </w:r>
          </w:p>
          <w:p>
            <w:pPr>
              <w:spacing w:line="360" w:lineRule="auto"/>
              <w:rPr>
                <w:rFonts w:hint="eastAsia" w:ascii="宋体" w:hAnsi="宋体"/>
                <w:b w:val="0"/>
                <w:bCs/>
                <w:color w:val="000000" w:themeColor="text1"/>
              </w:rPr>
            </w:pPr>
            <w:r>
              <w:rPr>
                <w:rFonts w:hint="eastAsia" w:ascii="宋体" w:hAnsi="宋体"/>
                <w:b w:val="0"/>
                <w:bCs/>
                <w:color w:val="000000" w:themeColor="text1"/>
              </w:rPr>
              <w:t>顾客反馈信息及时处理率100%。</w:t>
            </w:r>
          </w:p>
          <w:p>
            <w:pPr>
              <w:spacing w:line="360" w:lineRule="auto"/>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ind w:firstLine="420" w:firstLineChars="200"/>
              <w:rPr>
                <w:rFonts w:ascii="宋体" w:hAnsi="宋体"/>
                <w:b/>
                <w:color w:val="000000" w:themeColor="text1"/>
                <w:sz w:val="20"/>
                <w:szCs w:val="20"/>
              </w:rPr>
            </w:pPr>
            <w:r>
              <w:rPr>
                <w:rFonts w:hint="eastAsia" w:ascii="宋体" w:hAnsi="宋体"/>
                <w:b w:val="0"/>
                <w:bCs/>
                <w:color w:val="000000" w:themeColor="text1"/>
                <w:sz w:val="21"/>
                <w:szCs w:val="21"/>
              </w:rPr>
              <w:t>公司按照申请认证的标准要求，建立并形成了文件化的质量管理体系文件，体系文件对管理体系各过程进行了识别确定、明确了各要素间的相互关系及其管控要求。公司体系文件于20</w:t>
            </w:r>
            <w:r>
              <w:rPr>
                <w:rFonts w:hint="eastAsia" w:ascii="宋体" w:hAnsi="宋体"/>
                <w:b w:val="0"/>
                <w:bCs/>
                <w:color w:val="000000" w:themeColor="text1"/>
                <w:sz w:val="21"/>
                <w:szCs w:val="21"/>
                <w:lang w:val="en-US" w:eastAsia="zh-CN"/>
              </w:rPr>
              <w:t>20</w:t>
            </w:r>
            <w:r>
              <w:rPr>
                <w:rFonts w:hint="eastAsia" w:ascii="宋体" w:hAnsi="宋体"/>
                <w:b w:val="0"/>
                <w:bCs/>
                <w:color w:val="000000" w:themeColor="text1"/>
                <w:sz w:val="21"/>
                <w:szCs w:val="21"/>
              </w:rPr>
              <w:t>年</w:t>
            </w:r>
            <w:r>
              <w:rPr>
                <w:rFonts w:hint="eastAsia" w:ascii="宋体" w:hAnsi="宋体"/>
                <w:b w:val="0"/>
                <w:bCs/>
                <w:color w:val="000000" w:themeColor="text1"/>
                <w:sz w:val="21"/>
                <w:szCs w:val="21"/>
                <w:lang w:val="en-US" w:eastAsia="zh-CN"/>
              </w:rPr>
              <w:t>3</w:t>
            </w:r>
            <w:r>
              <w:rPr>
                <w:rFonts w:hint="eastAsia" w:ascii="宋体" w:hAnsi="宋体"/>
                <w:b w:val="0"/>
                <w:bCs/>
                <w:color w:val="000000" w:themeColor="text1"/>
                <w:sz w:val="21"/>
                <w:szCs w:val="21"/>
              </w:rPr>
              <w:t>月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360" w:lineRule="auto"/>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60" w:lineRule="auto"/>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ascii="宋体" w:hAnsi="宋体"/>
                <w:b/>
                <w:color w:val="000000" w:themeColor="text1"/>
                <w:sz w:val="20"/>
                <w:szCs w:val="20"/>
              </w:rPr>
            </w:pPr>
            <w:r>
              <w:rPr>
                <w:rFonts w:hint="eastAsia"/>
                <w:szCs w:val="21"/>
                <w:lang w:eastAsia="zh-CN"/>
              </w:rPr>
              <w:t>发泡机、蒸汽锅炉、板材机、泡沫切割机、发泡机消失模成型机空、离心泵、冷却塔、环保气体吸附设备</w:t>
            </w:r>
            <w:r>
              <w:rPr>
                <w:rFonts w:hint="eastAsia"/>
                <w:szCs w:val="21"/>
                <w:lang w:val="en-US" w:eastAsia="zh-CN"/>
              </w:rPr>
              <w:t>等</w:t>
            </w:r>
            <w:r>
              <w:rPr>
                <w:rFonts w:hint="eastAsia" w:ascii="宋体" w:hAnsi="宋体"/>
                <w:szCs w:val="21"/>
              </w:rPr>
              <w:t>，可以满足生产需要。对设备按月方式进行点检维护保养，并实施。特种设备：无。</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车间内设备布置合理，通道部分不畅通，照明设施齐全，均配备了电风扇、消防设施等设施，作业场所光线较充足。生产区域对环境要求不高，目前工作环境符合生产需要。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360" w:lineRule="auto"/>
              <w:rPr>
                <w:rFonts w:ascii="宋体" w:hAnsi="宋体"/>
                <w:b/>
                <w:color w:val="000000" w:themeColor="text1"/>
                <w:sz w:val="20"/>
                <w:szCs w:val="20"/>
              </w:rPr>
            </w:pPr>
            <w:r>
              <w:rPr>
                <w:rFonts w:hint="eastAsia"/>
                <w:szCs w:val="22"/>
              </w:rPr>
              <w:t>生产车间均按策划的要求配置了相应的检测设备，均采用委外送检的方式。主要检测设备有</w:t>
            </w:r>
            <w:r>
              <w:rPr>
                <w:rFonts w:hint="eastAsia" w:ascii="宋体" w:hAnsi="宋体"/>
                <w:szCs w:val="21"/>
              </w:rPr>
              <w:t>游标卡尺、</w:t>
            </w:r>
            <w:r>
              <w:rPr>
                <w:rFonts w:hint="eastAsia" w:ascii="宋体" w:hAnsi="宋体"/>
                <w:szCs w:val="21"/>
                <w:lang w:val="en-US" w:eastAsia="zh-CN"/>
              </w:rPr>
              <w:t>电子台秤、压力表</w:t>
            </w:r>
            <w:r>
              <w:rPr>
                <w:rFonts w:hint="eastAsia" w:ascii="宋体" w:hAnsi="宋体"/>
                <w:szCs w:val="21"/>
              </w:rPr>
              <w:t>等</w:t>
            </w:r>
            <w:r>
              <w:rPr>
                <w:rFonts w:hint="eastAsia"/>
                <w:szCs w:val="22"/>
              </w:rPr>
              <w:t>。</w:t>
            </w:r>
            <w:r>
              <w:rPr>
                <w:rFonts w:hint="eastAsia" w:ascii="宋体" w:hAnsi="宋体"/>
                <w:szCs w:val="21"/>
              </w:rPr>
              <w:t>均能提供在用量具的有效检定或校准证。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adjustRightInd w:val="0"/>
              <w:snapToGrid w:val="0"/>
              <w:spacing w:line="360" w:lineRule="auto"/>
              <w:ind w:firstLine="420" w:firstLineChars="200"/>
              <w:rPr>
                <w:rFonts w:ascii="宋体" w:hAnsi="宋体" w:cs="宋体"/>
              </w:rPr>
            </w:pPr>
            <w:r>
              <w:rPr>
                <w:rFonts w:hint="eastAsia" w:ascii="宋体" w:hAnsi="宋体" w:cs="宋体"/>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w:t>
            </w:r>
            <w:r>
              <w:rPr>
                <w:rFonts w:hint="eastAsia" w:ascii="宋体" w:hAnsi="宋体" w:cs="宋体"/>
                <w:lang w:val="en-US" w:eastAsia="zh-CN"/>
              </w:rPr>
              <w:t>网络信息</w:t>
            </w:r>
            <w:r>
              <w:rPr>
                <w:rFonts w:hint="eastAsia" w:ascii="宋体" w:hAnsi="宋体" w:cs="宋体"/>
              </w:rPr>
              <w:t>，从顾客或外部供方收集的知识）。</w:t>
            </w:r>
          </w:p>
          <w:p>
            <w:pPr>
              <w:spacing w:line="360" w:lineRule="auto"/>
              <w:rPr>
                <w:rFonts w:hint="eastAsia" w:ascii="宋体" w:hAnsi="宋体" w:eastAsia="宋体"/>
                <w:b/>
                <w:color w:val="000000" w:themeColor="text1"/>
                <w:sz w:val="20"/>
                <w:szCs w:val="20"/>
                <w:lang w:eastAsia="zh-CN"/>
              </w:rPr>
            </w:pPr>
            <w:r>
              <w:rPr>
                <w:rFonts w:hint="eastAsia" w:ascii="宋体" w:hAnsi="宋体" w:cs="宋体"/>
              </w:rPr>
              <w:t>--公司明确组织知识作为公司的重要资源，按内部文件或外来文件予以受控管理，包括必要的分级保密措施</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360" w:lineRule="auto"/>
              <w:rPr>
                <w:rFonts w:hint="default" w:ascii="宋体" w:hAnsi="宋体"/>
                <w:b/>
                <w:color w:val="000000" w:themeColor="text1"/>
                <w:sz w:val="20"/>
                <w:szCs w:val="20"/>
                <w:lang w:val="en-US"/>
              </w:rPr>
            </w:pPr>
            <w:r>
              <w:rPr>
                <w:rFonts w:hint="eastAsia"/>
                <w:szCs w:val="21"/>
                <w:lang w:eastAsia="zh-CN"/>
              </w:rPr>
              <w:t>环保气体吸附设备、</w:t>
            </w:r>
            <w:r>
              <w:rPr>
                <w:rFonts w:hint="eastAsia"/>
                <w:szCs w:val="21"/>
                <w:lang w:val="en-US" w:eastAsia="zh-CN"/>
              </w:rPr>
              <w:t>分类垃圾桶、灭火器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360" w:lineRule="auto"/>
              <w:rPr>
                <w:rFonts w:hint="default" w:ascii="宋体" w:hAnsi="宋体" w:eastAsia="宋体"/>
                <w:b/>
                <w:color w:val="000000" w:themeColor="text1"/>
                <w:sz w:val="20"/>
                <w:szCs w:val="20"/>
                <w:lang w:val="en-US" w:eastAsia="zh-CN"/>
              </w:rPr>
            </w:pPr>
            <w:r>
              <w:rPr>
                <w:rFonts w:hint="eastAsia"/>
                <w:szCs w:val="22"/>
              </w:rPr>
              <w:t>标志牌、劳保用品。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rPr>
                <w:b/>
                <w:color w:val="000000" w:themeColor="text1"/>
                <w:sz w:val="20"/>
                <w:szCs w:val="20"/>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szCs w:val="21"/>
              </w:rPr>
              <w:t>质量为本、顾客至上、持续改进、追求最佳。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内部沟通的效果：</w:t>
            </w:r>
            <w:r>
              <w:rPr>
                <w:rFonts w:hint="eastAsia" w:ascii="宋体" w:hAnsi="宋体" w:eastAsia="宋体" w:cs="宋体"/>
                <w:color w:val="000000"/>
                <w:sz w:val="21"/>
                <w:szCs w:val="21"/>
              </w:rPr>
              <w:t>良好</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color w:val="000000"/>
                <w:sz w:val="21"/>
                <w:szCs w:val="21"/>
              </w:rPr>
              <w:t>采取顾客满意度调查方式了解顾客感受。</w:t>
            </w:r>
          </w:p>
          <w:p>
            <w:pPr>
              <w:spacing w:line="240" w:lineRule="exact"/>
              <w:rPr>
                <w:rFonts w:hint="eastAsia" w:ascii="宋体" w:hAnsi="宋体" w:eastAsia="宋体" w:cs="宋体"/>
                <w:b/>
                <w:color w:val="000000" w:themeColor="text1"/>
                <w:sz w:val="21"/>
                <w:szCs w:val="21"/>
              </w:rPr>
            </w:pPr>
          </w:p>
          <w:p>
            <w:pPr>
              <w:spacing w:line="2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p>
          <w:p>
            <w:pPr>
              <w:spacing w:line="240" w:lineRule="exact"/>
              <w:rPr>
                <w:rFonts w:hint="eastAsia" w:ascii="宋体" w:hAnsi="宋体" w:eastAsia="宋体" w:cs="宋体"/>
                <w:b/>
                <w:color w:val="000000" w:themeColor="text1"/>
                <w:sz w:val="21"/>
                <w:szCs w:val="21"/>
              </w:rPr>
            </w:pPr>
          </w:p>
          <w:p>
            <w:pPr>
              <w:spacing w:line="2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p>
          <w:p>
            <w:pPr>
              <w:spacing w:line="240" w:lineRule="exact"/>
              <w:rPr>
                <w:rFonts w:hint="eastAsia" w:ascii="宋体" w:hAnsi="宋体" w:eastAsia="宋体" w:cs="宋体"/>
                <w:b/>
                <w:color w:val="000000" w:themeColor="text1"/>
                <w:sz w:val="21"/>
                <w:szCs w:val="21"/>
              </w:rPr>
            </w:pPr>
          </w:p>
          <w:p>
            <w:pPr>
              <w:spacing w:line="2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OHSMS事务代表协商和交流的情况（OHSMS填写）：</w:t>
            </w:r>
          </w:p>
          <w:p>
            <w:pPr>
              <w:spacing w:line="240" w:lineRule="exact"/>
              <w:rPr>
                <w:rFonts w:hint="eastAsia" w:ascii="宋体" w:hAnsi="宋体" w:eastAsia="宋体" w:cs="宋体"/>
                <w:b/>
                <w:color w:val="000000" w:themeColor="text1"/>
                <w:sz w:val="21"/>
                <w:szCs w:val="21"/>
              </w:rPr>
            </w:pPr>
          </w:p>
          <w:p>
            <w:pPr>
              <w:spacing w:line="240" w:lineRule="exact"/>
              <w:rPr>
                <w:rFonts w:ascii="楷体_GB2312" w:eastAsia="楷体_GB2312"/>
                <w:b/>
                <w:color w:val="000000" w:themeColor="text1"/>
                <w:szCs w:val="21"/>
              </w:rPr>
            </w:pPr>
            <w:r>
              <w:rPr>
                <w:rFonts w:hint="eastAsia" w:ascii="宋体" w:hAnsi="宋体" w:eastAsia="宋体" w:cs="宋体"/>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b/>
                <w:color w:val="000000" w:themeColor="text1"/>
                <w:sz w:val="20"/>
                <w:szCs w:val="20"/>
              </w:rPr>
            </w:pPr>
            <w:r>
              <w:rPr>
                <w:rFonts w:hint="eastAsia" w:ascii="宋体" w:hAnsi="宋体" w:cs="宋体"/>
                <w:color w:val="000000"/>
                <w:szCs w:val="21"/>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r>
              <w:rPr>
                <w:rFonts w:hint="eastAsia" w:ascii="宋体" w:hAnsi="宋体" w:cs="宋体"/>
                <w:color w:val="000000"/>
                <w:szCs w:val="21"/>
                <w:lang w:val="en-US" w:eastAsia="zh-CN"/>
              </w:rPr>
              <w:t>企业产品单一，客户固定，无关键工序和特殊过程，</w:t>
            </w:r>
            <w:r>
              <w:rPr>
                <w:rFonts w:hint="eastAsia"/>
                <w:sz w:val="20"/>
              </w:rPr>
              <w:t>能力</w:t>
            </w:r>
            <w:r>
              <w:rPr>
                <w:rFonts w:hint="eastAsia"/>
                <w:sz w:val="20"/>
                <w:lang w:val="en-US" w:eastAsia="zh-CN"/>
              </w:rPr>
              <w:t>满足</w:t>
            </w:r>
            <w:r>
              <w:rPr>
                <w:rFonts w:hint="eastAsia"/>
                <w:sz w:val="2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jc w:val="lef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4.QMS产品/服务的标准、协议/规范的有效性以及产品/服务质量符合要求，向顾客稳定提供合格产品的情况；</w:t>
            </w:r>
          </w:p>
          <w:p>
            <w:pPr>
              <w:spacing w:line="360" w:lineRule="auto"/>
              <w:ind w:firstLine="420" w:firstLineChars="200"/>
              <w:rPr>
                <w:rFonts w:ascii="宋体" w:hAnsi="宋体" w:cs="宋体"/>
                <w:szCs w:val="22"/>
              </w:rPr>
            </w:pPr>
            <w:r>
              <w:rPr>
                <w:rFonts w:hint="eastAsia" w:ascii="宋体" w:hAnsi="宋体" w:cs="宋体"/>
                <w:szCs w:val="22"/>
              </w:rPr>
              <w:t>企业参考国家行业主要有：标准GB/T1184-1996《形状和位置公差未注公差值》</w:t>
            </w:r>
            <w:r>
              <w:rPr>
                <w:rFonts w:hint="eastAsia" w:ascii="宋体" w:hAnsi="宋体" w:cs="宋体"/>
                <w:szCs w:val="22"/>
                <w:lang w:eastAsia="zh-CN"/>
              </w:rPr>
              <w:t>、</w:t>
            </w:r>
            <w:r>
              <w:rPr>
                <w:rFonts w:hint="eastAsia" w:ascii="宋体" w:hAnsi="宋体" w:cs="宋体"/>
                <w:szCs w:val="22"/>
              </w:rPr>
              <w:t xml:space="preserve">JG/T 287《保温装饰外墙外保温系统材料》 </w:t>
            </w:r>
            <w:r>
              <w:rPr>
                <w:rFonts w:hint="eastAsia" w:ascii="宋体" w:hAnsi="宋体" w:cs="宋体"/>
                <w:szCs w:val="22"/>
                <w:lang w:eastAsia="zh-CN"/>
              </w:rPr>
              <w:t>、</w:t>
            </w:r>
            <w:r>
              <w:rPr>
                <w:rFonts w:hint="eastAsia" w:ascii="宋体" w:hAnsi="宋体" w:cs="宋体"/>
                <w:szCs w:val="22"/>
                <w:lang w:val="en-US" w:eastAsia="zh-CN"/>
              </w:rPr>
              <w:t>产品</w:t>
            </w:r>
            <w:r>
              <w:rPr>
                <w:rFonts w:hint="eastAsia" w:ascii="宋体" w:hAnsi="宋体" w:cs="宋体"/>
                <w:szCs w:val="22"/>
              </w:rPr>
              <w:t>图纸和客户要求。</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szCs w:val="22"/>
              </w:rPr>
              <w:t>提供了产品检验记录，产品检验合格，满足顾客要求。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01" w:firstLineChars="100"/>
              <w:rPr>
                <w:b/>
                <w:color w:val="000000" w:themeColor="text1"/>
                <w:sz w:val="20"/>
                <w:szCs w:val="20"/>
              </w:rPr>
            </w:pPr>
            <w:r>
              <w:rPr>
                <w:rFonts w:hint="eastAsia"/>
                <w:b/>
                <w:color w:val="000000" w:themeColor="text1"/>
                <w:sz w:val="20"/>
                <w:szCs w:val="20"/>
              </w:rPr>
              <w:t>无</w:t>
            </w:r>
          </w:p>
          <w:p>
            <w:pPr>
              <w:spacing w:line="360" w:lineRule="auto"/>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ind w:firstLine="420" w:firstLineChars="200"/>
              <w:rPr>
                <w:b/>
                <w:color w:val="000000" w:themeColor="text1"/>
                <w:sz w:val="20"/>
                <w:szCs w:val="20"/>
              </w:rPr>
            </w:pPr>
            <w:r>
              <w:rPr>
                <w:rFonts w:hint="eastAsia" w:ascii="宋体" w:hAnsi="宋体" w:cs="宋体"/>
                <w:szCs w:val="22"/>
              </w:rPr>
              <w:t>提供的《不合格品控制程序》中规定了对不合格品的标识、记录、隔离、记录和处置的控制要求。采购检验中发现的不合格，要求做好相应的标识，并及时通知采购人员作退/换货处理。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7. EMS组织对重要环境因素实施控制的结果</w:t>
            </w:r>
          </w:p>
          <w:p>
            <w:pPr>
              <w:spacing w:line="360" w:lineRule="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360" w:lineRule="auto"/>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360" w:lineRule="auto"/>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rPr>
                <w:b/>
                <w:color w:val="000000" w:themeColor="text1"/>
                <w:spacing w:val="-4"/>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10. 对特种设备的维护，检定; </w:t>
            </w:r>
          </w:p>
          <w:p>
            <w:pPr>
              <w:spacing w:line="360" w:lineRule="auto"/>
              <w:rPr>
                <w:rFonts w:hint="default" w:eastAsia="宋体"/>
                <w:b/>
                <w:color w:val="000000" w:themeColor="text1"/>
                <w:sz w:val="20"/>
                <w:szCs w:val="20"/>
                <w:lang w:val="en-US" w:eastAsia="zh-CN"/>
              </w:rPr>
            </w:pPr>
            <w:r>
              <w:rPr>
                <w:rFonts w:hint="eastAsia" w:ascii="宋体" w:hAnsi="宋体" w:cs="宋体"/>
                <w:color w:val="000000" w:themeColor="text1"/>
                <w:szCs w:val="21"/>
              </w:rPr>
              <w:t>特种设备：</w:t>
            </w:r>
            <w:r>
              <w:rPr>
                <w:rFonts w:hint="eastAsia" w:ascii="宋体" w:hAnsi="宋体" w:cs="宋体"/>
                <w:color w:val="000000" w:themeColor="text1"/>
                <w:szCs w:val="21"/>
                <w:lang w:val="en-US" w:eastAsia="zh-CN"/>
              </w:rPr>
              <w:t>燃气蒸汽锅炉，提供检定证书</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360" w:lineRule="auto"/>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w:t>
            </w:r>
            <w:r>
              <w:rPr>
                <w:rFonts w:hint="eastAsia" w:ascii="宋体" w:hAnsi="宋体" w:cs="宋体"/>
                <w:color w:val="000000"/>
                <w:szCs w:val="21"/>
              </w:rPr>
              <w:t>过2019年6-12月目标的</w:t>
            </w:r>
            <w:r>
              <w:rPr>
                <w:rFonts w:hint="eastAsia" w:ascii="宋体" w:hAnsi="宋体" w:cs="宋体"/>
                <w:color w:val="000000" w:themeColor="text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360" w:lineRule="auto"/>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Chars="-50" w:firstLine="420" w:firstLineChars="20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公司建立了顾客满意度监视和测量控制程序，对顾客投诉处理及顾客满意度评价做了明确的规定，并按规定对顾客反馈及时处理。近年来未发生重大顾客投诉和产品质量事故。顾客满意度调查按规定实施</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统计</w:t>
            </w:r>
            <w:r>
              <w:rPr>
                <w:rFonts w:hint="eastAsia" w:ascii="宋体" w:hAnsi="宋体" w:cs="宋体"/>
                <w:color w:val="000000" w:themeColor="text1"/>
                <w:szCs w:val="21"/>
              </w:rPr>
              <w:t>，满意度评价达95.8%，总体实现了顾客满意度的质量目标要求。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360" w:lineRule="auto"/>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pPr>
              <w:spacing w:line="360" w:lineRule="auto"/>
              <w:jc w:val="left"/>
              <w:rPr>
                <w:b/>
                <w:color w:val="000000" w:themeColor="text1"/>
                <w:sz w:val="20"/>
                <w:szCs w:val="20"/>
              </w:rPr>
            </w:pPr>
            <w:r>
              <w:rPr>
                <w:b/>
                <w:color w:val="000000" w:themeColor="text1"/>
                <w:sz w:val="20"/>
                <w:szCs w:val="20"/>
              </w:rPr>
              <w:t xml:space="preserve"> </w:t>
            </w:r>
            <w:r>
              <w:rPr>
                <w:rFonts w:hint="eastAsia" w:ascii="宋体" w:hAnsi="宋体" w:cs="宋体"/>
                <w:szCs w:val="22"/>
              </w:rPr>
              <w:t xml:space="preserve"> 每年一次，本次2020.7.9-7.</w:t>
            </w:r>
            <w:r>
              <w:rPr>
                <w:rFonts w:hint="eastAsia" w:ascii="宋体" w:hAnsi="宋体" w:cs="宋体"/>
                <w:szCs w:val="22"/>
                <w:lang w:val="en-US" w:eastAsia="zh-CN"/>
              </w:rPr>
              <w:t>1</w:t>
            </w:r>
            <w:r>
              <w:rPr>
                <w:rFonts w:hint="eastAsia" w:ascii="宋体" w:hAnsi="宋体" w:cs="宋体"/>
                <w:szCs w:val="22"/>
              </w:rPr>
              <w:t>0日内审。</w:t>
            </w:r>
          </w:p>
          <w:p>
            <w:pPr>
              <w:spacing w:line="360" w:lineRule="auto"/>
              <w:rPr>
                <w:b/>
                <w:color w:val="000000" w:themeColor="text1"/>
                <w:sz w:val="20"/>
                <w:szCs w:val="20"/>
              </w:rPr>
            </w:pPr>
            <w:r>
              <w:rPr>
                <w:rFonts w:hint="eastAsia"/>
                <w:b/>
                <w:color w:val="000000" w:themeColor="text1"/>
                <w:sz w:val="20"/>
                <w:szCs w:val="20"/>
              </w:rPr>
              <w:t>了解内审是否覆盖了管理体系范围内的活动及标准的要求</w:t>
            </w:r>
            <w:r>
              <w:rPr>
                <w:b/>
                <w:color w:val="000000" w:themeColor="text1"/>
                <w:sz w:val="20"/>
                <w:szCs w:val="20"/>
              </w:rPr>
              <w:t xml:space="preserve">; </w:t>
            </w:r>
          </w:p>
          <w:p>
            <w:pPr>
              <w:spacing w:line="360" w:lineRule="auto"/>
              <w:ind w:firstLine="210" w:firstLineChars="100"/>
              <w:rPr>
                <w:rFonts w:asciiTheme="minorEastAsia" w:hAnsiTheme="minorEastAsia" w:eastAsiaTheme="minorEastAsia"/>
                <w:szCs w:val="22"/>
              </w:rPr>
            </w:pPr>
            <w:r>
              <w:rPr>
                <w:rFonts w:hint="eastAsia" w:asciiTheme="minorEastAsia" w:hAnsiTheme="minorEastAsia" w:eastAsiaTheme="minorEastAsia"/>
                <w:szCs w:val="22"/>
              </w:rPr>
              <w:t>覆盖。</w:t>
            </w:r>
          </w:p>
          <w:p>
            <w:pPr>
              <w:spacing w:line="360" w:lineRule="auto"/>
              <w:rPr>
                <w:b/>
                <w:color w:val="000000" w:themeColor="text1"/>
                <w:sz w:val="20"/>
                <w:szCs w:val="20"/>
              </w:rPr>
            </w:pPr>
            <w:r>
              <w:rPr>
                <w:rFonts w:hint="eastAsia"/>
                <w:b/>
                <w:color w:val="000000" w:themeColor="text1"/>
                <w:sz w:val="20"/>
                <w:szCs w:val="20"/>
              </w:rPr>
              <w:t>了解内审结论是什么？</w:t>
            </w:r>
          </w:p>
          <w:p>
            <w:pPr>
              <w:spacing w:line="360" w:lineRule="auto"/>
              <w:ind w:firstLine="420" w:firstLineChars="200"/>
              <w:rPr>
                <w:b/>
                <w:color w:val="000000" w:themeColor="text1"/>
                <w:sz w:val="20"/>
                <w:szCs w:val="20"/>
              </w:rPr>
            </w:pPr>
            <w:r>
              <w:rPr>
                <w:rFonts w:hint="eastAsia" w:asciiTheme="minorEastAsia" w:hAnsiTheme="minorEastAsia" w:eastAsiaTheme="minorEastAsia"/>
                <w:szCs w:val="22"/>
              </w:rPr>
              <w:t>本公司质量管理体系符合公司管理手册、程序性文件、</w:t>
            </w:r>
            <w:r>
              <w:rPr>
                <w:rFonts w:hint="eastAsia" w:asciiTheme="minorEastAsia" w:hAnsiTheme="minorEastAsia" w:eastAsiaTheme="minorEastAsia"/>
                <w:szCs w:val="22"/>
                <w:lang w:val="en-US" w:eastAsia="zh-CN"/>
              </w:rPr>
              <w:t>GB/T19001-2015</w:t>
            </w:r>
            <w:r>
              <w:rPr>
                <w:rFonts w:hint="eastAsia" w:asciiTheme="minorEastAsia" w:hAnsiTheme="minorEastAsia" w:eastAsiaTheme="minorEastAsia"/>
                <w:szCs w:val="22"/>
              </w:rPr>
              <w:t>的要求，本公司质量管理体系得到了有效实施，运行实施保持了适宜性。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每年一次，2020.</w:t>
            </w:r>
            <w:r>
              <w:rPr>
                <w:rFonts w:hint="eastAsia" w:ascii="宋体" w:hAnsi="宋体" w:cs="宋体"/>
                <w:szCs w:val="22"/>
                <w:lang w:val="en-US" w:eastAsia="zh-CN"/>
              </w:rPr>
              <w:t>7</w:t>
            </w:r>
            <w:r>
              <w:rPr>
                <w:rFonts w:hint="eastAsia" w:ascii="宋体" w:hAnsi="宋体" w:cs="宋体"/>
                <w:szCs w:val="22"/>
              </w:rPr>
              <w:t>.</w:t>
            </w:r>
            <w:r>
              <w:rPr>
                <w:rFonts w:hint="eastAsia" w:ascii="宋体" w:hAnsi="宋体" w:cs="宋体"/>
                <w:szCs w:val="22"/>
                <w:lang w:val="en-US" w:eastAsia="zh-CN"/>
              </w:rPr>
              <w:t>20</w:t>
            </w:r>
            <w:r>
              <w:rPr>
                <w:rFonts w:hint="eastAsia" w:ascii="宋体" w:hAnsi="宋体" w:cs="宋体"/>
                <w:szCs w:val="22"/>
              </w:rPr>
              <w:t>日管理评审。</w:t>
            </w:r>
          </w:p>
          <w:p>
            <w:pPr>
              <w:spacing w:line="360" w:lineRule="auto"/>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输入基本充分。</w:t>
            </w:r>
          </w:p>
          <w:p>
            <w:pPr>
              <w:spacing w:line="360" w:lineRule="auto"/>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pPr>
              <w:spacing w:line="360" w:lineRule="auto"/>
              <w:rPr>
                <w:b/>
                <w:color w:val="000000" w:themeColor="text1"/>
                <w:sz w:val="20"/>
                <w:szCs w:val="20"/>
              </w:rPr>
            </w:pPr>
            <w:r>
              <w:rPr>
                <w:rFonts w:hint="eastAsia" w:asciiTheme="minorEastAsia" w:hAnsiTheme="minorEastAsia" w:eastAsiaTheme="minorEastAsia"/>
                <w:szCs w:val="22"/>
              </w:rPr>
              <w:t>管理体系文件运行是有效的，方针和目标的贯彻是有效的。没有发生质量投诉，运行符合法律法规的要求。领导的重视为体系的运行创造了有利条件。为保证</w:t>
            </w:r>
            <w:r>
              <w:rPr>
                <w:rFonts w:hint="eastAsia" w:asciiTheme="minorEastAsia" w:hAnsiTheme="minorEastAsia" w:eastAsiaTheme="minorEastAsia"/>
                <w:szCs w:val="22"/>
                <w:lang w:val="en-US" w:eastAsia="zh-CN"/>
              </w:rPr>
              <w:t>质量</w:t>
            </w:r>
            <w:r>
              <w:rPr>
                <w:rFonts w:hint="eastAsia" w:asciiTheme="minorEastAsia" w:hAnsiTheme="minorEastAsia" w:eastAsiaTheme="minorEastAsia"/>
                <w:szCs w:val="22"/>
              </w:rPr>
              <w:t>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360" w:lineRule="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360" w:lineRule="auto"/>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60" w:lineRule="auto"/>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60" w:lineRule="auto"/>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8.OHSMS国家/地方职业健康安全部门监督检查情况及措施</w:t>
            </w:r>
          </w:p>
          <w:p>
            <w:pPr>
              <w:spacing w:line="360" w:lineRule="auto"/>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3"/>
              </w:numPr>
              <w:spacing w:line="360" w:lineRule="auto"/>
              <w:ind w:left="0" w:leftChars="0" w:firstLine="0" w:firstLineChars="0"/>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360" w:lineRule="auto"/>
              <w:ind w:leftChars="0"/>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pPr>
              <w:spacing w:line="360" w:lineRule="auto"/>
              <w:ind w:firstLine="420" w:firstLineChars="20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pPr>
              <w:spacing w:line="360" w:lineRule="auto"/>
              <w:ind w:firstLine="420" w:firstLineChars="200"/>
              <w:rPr>
                <w:b/>
                <w:color w:val="000000" w:themeColor="text1"/>
                <w:sz w:val="20"/>
                <w:szCs w:val="20"/>
              </w:rPr>
            </w:pPr>
            <w:r>
              <w:rPr>
                <w:rFonts w:hint="eastAsia"/>
                <w:bCs/>
                <w:color w:val="000000" w:themeColor="text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pPr>
              <w:spacing w:line="360" w:lineRule="auto"/>
              <w:rPr>
                <w:b/>
                <w:color w:val="000000" w:themeColor="text1"/>
                <w:spacing w:val="-20"/>
                <w:sz w:val="20"/>
                <w:szCs w:val="20"/>
              </w:rPr>
            </w:pPr>
            <w:r>
              <w:rPr>
                <w:b/>
                <w:color w:val="000000" w:themeColor="text1"/>
                <w:spacing w:val="-20"/>
                <w:sz w:val="20"/>
                <w:szCs w:val="20"/>
              </w:rPr>
              <w:t xml:space="preserve">  </w:t>
            </w:r>
            <w:r>
              <w:rPr>
                <w:rFonts w:hint="eastAsia" w:ascii="Times New Roman" w:hAnsi="Times New Roman" w:eastAsia="宋体" w:cs="Times New Roman"/>
                <w:bCs/>
                <w:color w:val="000000" w:themeColor="text1"/>
                <w:szCs w:val="21"/>
              </w:rPr>
              <w:t>一阶段提出的问题已整改完成。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bCs/>
              </w:rPr>
            </w:pPr>
            <w:r>
              <w:rPr>
                <w:b/>
                <w:bCs/>
              </w:rPr>
              <w:t>4.</w:t>
            </w:r>
            <w:r>
              <w:rPr>
                <w:rFonts w:hint="eastAsia"/>
                <w:b/>
                <w:bCs/>
              </w:rPr>
              <w:t>创新情况</w:t>
            </w:r>
          </w:p>
          <w:p>
            <w:pPr>
              <w:pStyle w:val="4"/>
              <w:spacing w:line="360" w:lineRule="auto"/>
              <w:rPr>
                <w:b/>
                <w:color w:val="000000" w:themeColor="text1"/>
                <w:sz w:val="20"/>
                <w:szCs w:val="20"/>
              </w:rPr>
            </w:pPr>
            <w:r>
              <w:rPr>
                <w:rFonts w:hint="eastAsia"/>
                <w:sz w:val="21"/>
                <w:szCs w:val="21"/>
              </w:rPr>
              <w:t>无。</w:t>
            </w: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b/>
        </w:rPr>
        <w:t xml:space="preserve">1. </w:t>
      </w:r>
      <w:r>
        <w:rPr>
          <w:rFonts w:hint="eastAsia"/>
          <w:b/>
        </w:rPr>
        <w:t>本次审核共开具不符合项报告</w:t>
      </w:r>
      <w:r>
        <w:rPr>
          <w:b/>
          <w:u w:val="single"/>
        </w:rPr>
        <w:t xml:space="preserve"> </w:t>
      </w:r>
      <w:r>
        <w:rPr>
          <w:u w:val="single"/>
        </w:rPr>
        <w:t xml:space="preserve"> 1 </w:t>
      </w:r>
      <w:r>
        <w:rPr>
          <w:rFonts w:hint="eastAsia"/>
          <w:b/>
        </w:rPr>
        <w:t>项；其中</w:t>
      </w:r>
      <w:r>
        <w:pict>
          <v:line id="直接连接符 1" o:spid="_x0000_s1028" o:spt="20" style="position:absolute;left:0pt;margin-left:210pt;margin-top:16.2pt;height:0pt;width:0pt;z-index:251658240;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r>
        <w:rPr>
          <w:rFonts w:hint="eastAsia"/>
          <w:color w:val="000000" w:themeColor="text1"/>
          <w:u w:val="single"/>
        </w:rPr>
        <w:t>无。</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jc w:val="left"/>
        <w:rPr>
          <w:rFonts w:ascii="宋体" w:hAnsi="宋体"/>
          <w:b/>
          <w:color w:val="000000" w:themeColor="text1"/>
          <w:szCs w:val="21"/>
        </w:rPr>
      </w:pPr>
      <w:r>
        <w:rPr>
          <w:rFonts w:hint="eastAsia"/>
          <w:b/>
          <w:color w:val="000000" w:themeColor="text1"/>
          <w:spacing w:val="-10"/>
          <w:szCs w:val="21"/>
          <w:lang w:eastAsia="zh-CN"/>
        </w:rPr>
        <w:t>□</w:t>
      </w: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rFonts w:hint="eastAsia"/>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pStyle w:val="2"/>
              <w:rPr>
                <w:rFonts w:hint="eastAsia"/>
                <w:lang w:eastAsia="zh-CN"/>
              </w:rPr>
            </w:pPr>
          </w:p>
          <w:p>
            <w:pPr>
              <w:spacing w:line="360" w:lineRule="auto"/>
              <w:rPr>
                <w:b/>
                <w:color w:val="000000" w:themeColor="text1"/>
                <w:sz w:val="28"/>
                <w:szCs w:val="28"/>
              </w:rPr>
            </w:pPr>
            <w:r>
              <w:rPr>
                <w:rFonts w:hint="eastAsia" w:ascii="宋体" w:hAnsi="宋体" w:cs="宋体"/>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3360" behindDoc="0" locked="0" layoutInCell="1" allowOverlap="1">
            <wp:simplePos x="0" y="0"/>
            <wp:positionH relativeFrom="column">
              <wp:posOffset>1893570</wp:posOffset>
            </wp:positionH>
            <wp:positionV relativeFrom="paragraph">
              <wp:posOffset>349885</wp:posOffset>
            </wp:positionV>
            <wp:extent cx="401320" cy="317500"/>
            <wp:effectExtent l="0" t="0" r="508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01320" cy="31750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sz w:val="22"/>
          <w:szCs w:val="22"/>
        </w:rPr>
        <w:drawing>
          <wp:anchor distT="0" distB="0" distL="0" distR="0" simplePos="0" relativeHeight="251662336" behindDoc="0" locked="0" layoutInCell="1" allowOverlap="1">
            <wp:simplePos x="0" y="0"/>
            <wp:positionH relativeFrom="column">
              <wp:posOffset>1840865</wp:posOffset>
            </wp:positionH>
            <wp:positionV relativeFrom="paragraph">
              <wp:posOffset>106045</wp:posOffset>
            </wp:positionV>
            <wp:extent cx="678180" cy="325755"/>
            <wp:effectExtent l="0" t="0" r="7620" b="4445"/>
            <wp:wrapNone/>
            <wp:docPr id="7" name="图片 3" descr="说明: C:\Users\yihan\AppData\Local\Temp\WeChat Files\1c8922b8020a042a79ffa80ffdf0d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说明: C:\Users\yihan\AppData\Local\Temp\WeChat Files\1c8922b8020a042a79ffa80ffdf0dd9.png"/>
                    <pic:cNvPicPr>
                      <a:picLocks noChangeAspect="1" noChangeArrowheads="1"/>
                    </pic:cNvPicPr>
                  </pic:nvPicPr>
                  <pic:blipFill>
                    <a:blip r:embed="rId7"/>
                    <a:srcRect/>
                    <a:stretch>
                      <a:fillRect/>
                    </a:stretch>
                  </pic:blipFill>
                  <pic:spPr>
                    <a:xfrm>
                      <a:off x="0" y="0"/>
                      <a:ext cx="678180" cy="325755"/>
                    </a:xfrm>
                    <a:prstGeom prst="rect">
                      <a:avLst/>
                    </a:prstGeom>
                    <a:noFill/>
                    <a:ln w="9525">
                      <a:noFill/>
                      <a:miter lim="800000"/>
                      <a:headEnd/>
                      <a:tailEnd/>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日期</w:t>
      </w:r>
      <w:r>
        <w:rPr>
          <w:rFonts w:hint="eastAsia" w:ascii="宋体" w:hAnsi="宋体" w:eastAsia="宋体" w:cs="宋体"/>
          <w:b/>
          <w:color w:val="000000" w:themeColor="text1"/>
          <w:sz w:val="21"/>
          <w:szCs w:val="21"/>
          <w:lang w:eastAsia="zh-CN"/>
        </w:rPr>
        <w:t>：</w:t>
      </w:r>
      <w:r>
        <w:rPr>
          <w:rFonts w:hint="eastAsia" w:ascii="宋体" w:hAnsi="宋体" w:eastAsia="宋体" w:cs="宋体"/>
          <w:b/>
          <w:color w:val="000000" w:themeColor="text1"/>
          <w:sz w:val="21"/>
          <w:szCs w:val="21"/>
          <w:lang w:val="en-US" w:eastAsia="zh-CN"/>
        </w:rPr>
        <w:t xml:space="preserve"> 2020 </w:t>
      </w:r>
      <w:r>
        <w:rPr>
          <w:rFonts w:hint="eastAsia" w:ascii="宋体" w:hAnsi="宋体" w:eastAsia="宋体" w:cs="宋体"/>
          <w:b/>
          <w:color w:val="000000" w:themeColor="text1"/>
          <w:sz w:val="21"/>
          <w:szCs w:val="21"/>
        </w:rPr>
        <w:t xml:space="preserve">年 </w:t>
      </w:r>
      <w:r>
        <w:rPr>
          <w:rFonts w:hint="eastAsia" w:ascii="宋体" w:hAnsi="宋体" w:eastAsia="宋体" w:cs="宋体"/>
          <w:b/>
          <w:color w:val="000000" w:themeColor="text1"/>
          <w:sz w:val="21"/>
          <w:szCs w:val="21"/>
          <w:lang w:val="en-US" w:eastAsia="zh-CN"/>
        </w:rPr>
        <w:t>9</w:t>
      </w:r>
      <w:r>
        <w:rPr>
          <w:rFonts w:hint="eastAsia" w:ascii="宋体" w:hAnsi="宋体" w:eastAsia="宋体" w:cs="宋体"/>
          <w:b/>
          <w:color w:val="000000" w:themeColor="text1"/>
          <w:sz w:val="21"/>
          <w:szCs w:val="21"/>
        </w:rPr>
        <w:t xml:space="preserve"> 月 </w:t>
      </w:r>
      <w:r>
        <w:rPr>
          <w:rFonts w:hint="eastAsia" w:ascii="宋体" w:hAnsi="宋体" w:eastAsia="宋体" w:cs="宋体"/>
          <w:b/>
          <w:color w:val="000000" w:themeColor="text1"/>
          <w:sz w:val="21"/>
          <w:szCs w:val="21"/>
          <w:lang w:val="en-US" w:eastAsia="zh-CN"/>
        </w:rPr>
        <w:t>26</w:t>
      </w:r>
      <w:r>
        <w:rPr>
          <w:rFonts w:hint="eastAsia" w:ascii="宋体" w:hAnsi="宋体" w:eastAsia="宋体" w:cs="宋体"/>
          <w:b/>
          <w:color w:val="000000" w:themeColor="text1"/>
          <w:sz w:val="2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69504" behindDoc="0" locked="0" layoutInCell="1" allowOverlap="1">
            <wp:simplePos x="0" y="0"/>
            <wp:positionH relativeFrom="column">
              <wp:posOffset>902970</wp:posOffset>
            </wp:positionH>
            <wp:positionV relativeFrom="paragraph">
              <wp:posOffset>131445</wp:posOffset>
            </wp:positionV>
            <wp:extent cx="401320" cy="317500"/>
            <wp:effectExtent l="0" t="0" r="508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401320" cy="31750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9</w:t>
      </w:r>
      <w:r>
        <w:rPr>
          <w:rFonts w:hint="eastAsia"/>
          <w:b/>
          <w:color w:val="000000" w:themeColor="text1"/>
          <w:szCs w:val="21"/>
        </w:rPr>
        <w:t>月</w:t>
      </w:r>
      <w:r>
        <w:rPr>
          <w:rFonts w:hint="eastAsia"/>
          <w:b/>
          <w:color w:val="000000" w:themeColor="text1"/>
          <w:szCs w:val="21"/>
          <w:lang w:val="en-US" w:eastAsia="zh-CN"/>
        </w:rPr>
        <w:t>28</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1" w:leftChars="-305" w:hanging="639" w:hangingChars="303"/>
        <w:rPr>
          <w:rFonts w:hint="eastAsia"/>
          <w:b/>
          <w:color w:val="000000" w:themeColor="text1"/>
        </w:rPr>
      </w:pPr>
    </w:p>
    <w:p>
      <w:pPr>
        <w:spacing w:line="360" w:lineRule="auto"/>
        <w:ind w:left="-1" w:leftChars="-305" w:hanging="639" w:hangingChars="3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rFonts w:hint="eastAsia"/>
          <w:b/>
          <w:color w:val="000000" w:themeColor="text1"/>
        </w:rPr>
      </w:pPr>
    </w:p>
    <w:p>
      <w:pPr>
        <w:spacing w:line="360" w:lineRule="auto"/>
        <w:ind w:left="-1" w:leftChars="-305" w:hanging="639" w:hangingChars="303"/>
        <w:rPr>
          <w:rFonts w:hint="eastAsia"/>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pacing w:line="360" w:lineRule="auto"/>
        <w:ind w:left="-1" w:leftChars="-305" w:hanging="639" w:hangingChars="303"/>
        <w:rPr>
          <w:rFonts w:hint="eastAsia"/>
          <w:b/>
          <w:color w:val="000000" w:themeColor="text1"/>
        </w:rPr>
      </w:pPr>
    </w:p>
    <w:p>
      <w:pPr>
        <w:spacing w:line="360" w:lineRule="auto"/>
        <w:ind w:left="151" w:leftChars="-305" w:hanging="791" w:hangingChars="3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ind w:left="-3" w:leftChars="-281" w:hanging="587" w:hangingChars="225"/>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3" w:leftChars="-281" w:hanging="587" w:hangingChars="225"/>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3" w:leftChars="-281" w:hanging="587" w:hangingChars="225"/>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1D4F1"/>
    <w:multiLevelType w:val="singleLevel"/>
    <w:tmpl w:val="C981D4F1"/>
    <w:lvl w:ilvl="0" w:tentative="0">
      <w:start w:val="2"/>
      <w:numFmt w:val="decimal"/>
      <w:lvlText w:val="%1."/>
      <w:lvlJc w:val="left"/>
      <w:pPr>
        <w:tabs>
          <w:tab w:val="left" w:pos="312"/>
        </w:tabs>
      </w:pPr>
    </w:lvl>
  </w:abstractNum>
  <w:abstractNum w:abstractNumId="1">
    <w:nsid w:val="0BA1C619"/>
    <w:multiLevelType w:val="singleLevel"/>
    <w:tmpl w:val="0BA1C619"/>
    <w:lvl w:ilvl="0" w:tentative="0">
      <w:start w:val="8"/>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5">
    <w:nsid w:val="7DB4F0E8"/>
    <w:multiLevelType w:val="singleLevel"/>
    <w:tmpl w:val="7DB4F0E8"/>
    <w:lvl w:ilvl="0" w:tentative="0">
      <w:start w:val="5"/>
      <w:numFmt w:val="decimal"/>
      <w:suff w:val="space"/>
      <w:lvlText w:val="%1."/>
      <w:lvlJc w:val="left"/>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0E6940"/>
    <w:rsid w:val="37C05CCE"/>
    <w:rsid w:val="41441318"/>
    <w:rsid w:val="5B7939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qFormat/>
    <w:uiPriority w:val="0"/>
    <w:rPr>
      <w:sz w:val="28"/>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6</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2020-09-26T03:21:38Z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