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left"/>
        <w:rPr>
          <w:rFonts w:ascii="楷体" w:hAnsi="楷体" w:eastAsia="楷体"/>
          <w:b/>
          <w:bCs/>
          <w:color w:val="000000" w:themeColor="text1"/>
          <w:sz w:val="24"/>
          <w:szCs w:val="24"/>
        </w:rPr>
      </w:pPr>
      <w:r>
        <w:rPr>
          <w:rFonts w:hint="eastAsia" w:ascii="宋体" w:hAnsi="宋体"/>
          <w:b/>
          <w:bCs/>
          <w:sz w:val="24"/>
          <w:szCs w:val="24"/>
        </w:rPr>
        <w:t xml:space="preserve"> 编  号：</w:t>
      </w:r>
      <w:bookmarkStart w:id="0" w:name="合同编号"/>
      <w:r>
        <w:rPr>
          <w:b/>
          <w:bCs/>
          <w:sz w:val="24"/>
          <w:szCs w:val="24"/>
        </w:rPr>
        <w:t>0363-2020-QEO</w:t>
      </w:r>
      <w:bookmarkEnd w:id="0"/>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1" w:name="组织名称"/>
      <w:r>
        <w:rPr>
          <w:rFonts w:ascii="楷体" w:hAnsi="楷体" w:eastAsia="楷体"/>
          <w:b/>
          <w:color w:val="000000" w:themeColor="text1"/>
          <w:sz w:val="32"/>
          <w:szCs w:val="32"/>
          <w:u w:val="single"/>
        </w:rPr>
        <w:t>重庆同诚房地产土地资产评估有限公司</w:t>
      </w:r>
      <w:bookmarkEnd w:id="1"/>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2" w:name="Q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3" w:name="E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4" w:name="S勾选"/>
      <w:r>
        <w:rPr>
          <w:rFonts w:hint="eastAsia" w:ascii="楷体" w:hAnsi="楷体" w:eastAsia="楷体"/>
          <w:b/>
          <w:color w:val="000000" w:themeColor="text1"/>
          <w:sz w:val="32"/>
          <w:szCs w:val="32"/>
        </w:rPr>
        <w:t>■</w:t>
      </w:r>
      <w:bookmarkEnd w:id="4"/>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1"/>
          <w:rFonts w:hint="eastAsia" w:ascii="楷体" w:hAnsi="楷体" w:eastAsia="楷体"/>
          <w:b/>
          <w:sz w:val="36"/>
          <w:szCs w:val="36"/>
        </w:rPr>
        <w:t>www.china-isc.org.cn</w:t>
      </w:r>
      <w:r>
        <w:fldChar w:fldCharType="end"/>
      </w: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8"/>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杨珍全</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Q:34.06.00</w:t>
            </w:r>
          </w:p>
          <w:p>
            <w:pPr>
              <w:spacing w:line="240" w:lineRule="exact"/>
              <w:jc w:val="center"/>
              <w:rPr>
                <w:b/>
                <w:color w:val="000000" w:themeColor="text1"/>
                <w:sz w:val="20"/>
                <w:szCs w:val="20"/>
              </w:rPr>
            </w:pPr>
            <w:r>
              <w:rPr>
                <w:b/>
                <w:color w:val="000000" w:themeColor="text1"/>
                <w:sz w:val="20"/>
                <w:szCs w:val="20"/>
              </w:rPr>
              <w:t>E:34.06.00</w:t>
            </w:r>
          </w:p>
          <w:p>
            <w:pPr>
              <w:spacing w:line="240" w:lineRule="exact"/>
              <w:jc w:val="center"/>
              <w:rPr>
                <w:b/>
                <w:color w:val="000000" w:themeColor="text1"/>
                <w:sz w:val="20"/>
                <w:szCs w:val="20"/>
              </w:rPr>
            </w:pPr>
            <w:r>
              <w:rPr>
                <w:b/>
                <w:color w:val="000000" w:themeColor="text1"/>
                <w:sz w:val="20"/>
                <w:szCs w:val="20"/>
              </w:rPr>
              <w:t>O:32.13.01,34.06.00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冉景洲</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E:实习审核员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宋明珠</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余家龙</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Q:实习审核员</w:t>
            </w:r>
          </w:p>
          <w:p>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Q:34.06.00</w:t>
            </w:r>
          </w:p>
          <w:p>
            <w:pPr>
              <w:spacing w:line="240" w:lineRule="exact"/>
              <w:jc w:val="center"/>
              <w:rPr>
                <w:b/>
                <w:color w:val="000000" w:themeColor="text1"/>
                <w:sz w:val="20"/>
                <w:szCs w:val="20"/>
              </w:rPr>
            </w:pPr>
            <w:r>
              <w:rPr>
                <w:b/>
                <w:color w:val="000000" w:themeColor="text1"/>
                <w:sz w:val="20"/>
                <w:szCs w:val="20"/>
              </w:rPr>
              <w:t>E:34.06.00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程蕾</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Q:专家</w:t>
            </w:r>
          </w:p>
          <w:p>
            <w:pPr>
              <w:spacing w:line="240" w:lineRule="exact"/>
              <w:jc w:val="center"/>
              <w:rPr>
                <w:b/>
                <w:color w:val="000000" w:themeColor="text1"/>
                <w:sz w:val="20"/>
                <w:szCs w:val="20"/>
              </w:rPr>
            </w:pPr>
            <w:r>
              <w:rPr>
                <w:b/>
                <w:color w:val="000000" w:themeColor="text1"/>
                <w:sz w:val="20"/>
                <w:szCs w:val="20"/>
              </w:rPr>
              <w:t>E:专家</w:t>
            </w:r>
          </w:p>
          <w:p>
            <w:pPr>
              <w:spacing w:line="240" w:lineRule="exact"/>
              <w:jc w:val="center"/>
              <w:rPr>
                <w:b/>
                <w:color w:val="000000" w:themeColor="text1"/>
                <w:sz w:val="20"/>
                <w:szCs w:val="20"/>
              </w:rPr>
            </w:pPr>
            <w:r>
              <w:rPr>
                <w:b/>
                <w:color w:val="000000" w:themeColor="text1"/>
                <w:sz w:val="20"/>
                <w:szCs w:val="20"/>
              </w:rPr>
              <w:t>O:专家</w:t>
            </w:r>
          </w:p>
          <w:p>
            <w:pPr>
              <w:spacing w:line="240" w:lineRule="exact"/>
              <w:jc w:val="center"/>
              <w:rPr>
                <w:b/>
                <w:color w:val="000000" w:themeColor="text1"/>
                <w:sz w:val="20"/>
                <w:szCs w:val="20"/>
              </w:rPr>
            </w:pP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Q:32.13.01</w:t>
            </w:r>
          </w:p>
          <w:p>
            <w:pPr>
              <w:spacing w:line="240" w:lineRule="exact"/>
              <w:jc w:val="center"/>
              <w:rPr>
                <w:b/>
                <w:color w:val="000000" w:themeColor="text1"/>
                <w:sz w:val="20"/>
                <w:szCs w:val="20"/>
              </w:rPr>
            </w:pPr>
            <w:r>
              <w:rPr>
                <w:b/>
                <w:color w:val="000000" w:themeColor="text1"/>
                <w:sz w:val="20"/>
                <w:szCs w:val="20"/>
              </w:rPr>
              <w:t>E:32.13.01</w:t>
            </w:r>
          </w:p>
          <w:p>
            <w:pPr>
              <w:spacing w:line="240" w:lineRule="exact"/>
              <w:jc w:val="center"/>
              <w:rPr>
                <w:b/>
                <w:color w:val="000000" w:themeColor="text1"/>
                <w:sz w:val="20"/>
                <w:szCs w:val="20"/>
              </w:rPr>
            </w:pPr>
            <w:r>
              <w:rPr>
                <w:b/>
                <w:color w:val="000000" w:themeColor="text1"/>
                <w:sz w:val="20"/>
                <w:szCs w:val="20"/>
              </w:rPr>
              <w:t>O:32.13.01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eastAsia" w:ascii="宋体" w:hAnsi="宋体"/>
          <w:b/>
          <w:color w:val="000000" w:themeColor="text1"/>
          <w:spacing w:val="-10"/>
          <w:sz w:val="20"/>
          <w:szCs w:val="20"/>
        </w:rPr>
      </w:pPr>
      <w:bookmarkStart w:id="5" w:name="审核依据"/>
      <w:r>
        <w:rPr>
          <w:rFonts w:hint="eastAsia" w:ascii="宋体" w:hAnsi="宋体"/>
          <w:b/>
          <w:color w:val="000000" w:themeColor="text1"/>
          <w:spacing w:val="-10"/>
          <w:sz w:val="20"/>
          <w:szCs w:val="20"/>
        </w:rPr>
        <w:t>Q：GB/T19001-2016/ISO9001:2015,E：GB/T 24001-2016/ISO14001:2015,O：GB/T45001-2020 / ISO45001：2018</w:t>
      </w:r>
      <w:bookmarkEnd w:id="5"/>
    </w:p>
    <w:p>
      <w:pPr>
        <w:ind w:left="-840" w:leftChars="-400" w:firstLine="0" w:firstLineChars="0"/>
        <w:jc w:val="left"/>
        <w:rPr>
          <w:rFonts w:ascii="宋体" w:hAnsi="宋体"/>
          <w:b/>
          <w:color w:val="000000" w:themeColor="text1"/>
          <w:spacing w:val="-10"/>
          <w:sz w:val="20"/>
          <w:szCs w:val="20"/>
        </w:rPr>
      </w:pPr>
      <w:r>
        <w:rPr>
          <w:rFonts w:hint="eastAsia" w:ascii="宋体" w:hAnsi="宋体"/>
          <w:b/>
          <w:color w:val="000000" w:themeColor="text1"/>
          <w:sz w:val="26"/>
          <w:szCs w:val="26"/>
        </w:rPr>
        <w:t>四、受审核方基本信息</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6" w:name="组织名称Add1"/>
            <w:r>
              <w:rPr>
                <w:rFonts w:ascii="宋体" w:hAnsi="宋体"/>
                <w:b/>
                <w:color w:val="000000" w:themeColor="text1"/>
                <w:sz w:val="20"/>
                <w:szCs w:val="20"/>
              </w:rPr>
              <w:t>重庆同诚房地产土地资产评估有限公司</w:t>
            </w:r>
            <w:bookmarkEnd w:id="6"/>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7" w:name="企业人数"/>
            <w:r>
              <w:rPr>
                <w:rFonts w:ascii="宋体" w:hAnsi="宋体"/>
                <w:b/>
                <w:color w:val="000000" w:themeColor="text1"/>
                <w:sz w:val="20"/>
                <w:szCs w:val="20"/>
              </w:rPr>
              <w:t>55</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8" w:name="注册地址"/>
            <w:r>
              <w:rPr>
                <w:rFonts w:ascii="宋体" w:hAnsi="宋体"/>
                <w:b/>
                <w:color w:val="000000" w:themeColor="text1"/>
                <w:sz w:val="20"/>
                <w:szCs w:val="20"/>
              </w:rPr>
              <w:t>重庆市北部新区星光大道62号(海王星科技大厦D区9楼3号)</w:t>
            </w:r>
            <w:bookmarkEnd w:id="8"/>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9" w:name="注册邮编"/>
            <w:r>
              <w:rPr>
                <w:rFonts w:ascii="宋体" w:hAnsi="宋体"/>
                <w:b/>
                <w:color w:val="000000" w:themeColor="text1"/>
                <w:spacing w:val="-20"/>
                <w:sz w:val="20"/>
                <w:szCs w:val="20"/>
              </w:rPr>
              <w:t>400000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10" w:name="办公地址"/>
            <w:r>
              <w:rPr>
                <w:rFonts w:ascii="宋体" w:hAnsi="宋体"/>
                <w:b/>
                <w:color w:val="000000" w:themeColor="text1"/>
                <w:sz w:val="20"/>
                <w:szCs w:val="20"/>
              </w:rPr>
              <w:t>重庆市北部新区星光大道62号(海王星科技大厦D区9楼3号)</w:t>
            </w:r>
            <w:bookmarkEnd w:id="10"/>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1" w:name="办公邮编"/>
            <w:r>
              <w:rPr>
                <w:rFonts w:ascii="宋体" w:hAnsi="宋体"/>
                <w:b/>
                <w:color w:val="000000" w:themeColor="text1"/>
                <w:sz w:val="20"/>
                <w:szCs w:val="20"/>
              </w:rPr>
              <w:t>400000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2" w:name="联系人"/>
            <w:r>
              <w:rPr>
                <w:rFonts w:ascii="宋体" w:hAnsi="宋体"/>
                <w:b/>
                <w:color w:val="000000" w:themeColor="text1"/>
                <w:sz w:val="20"/>
                <w:szCs w:val="20"/>
              </w:rPr>
              <w:t>邓文斌</w:t>
            </w:r>
            <w:bookmarkEnd w:id="12"/>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3" w:name="联系人电话"/>
            <w:r>
              <w:rPr>
                <w:rFonts w:ascii="宋体" w:hAnsi="宋体"/>
                <w:b/>
                <w:color w:val="000000" w:themeColor="text1"/>
                <w:sz w:val="20"/>
                <w:szCs w:val="20"/>
              </w:rPr>
              <w:t>023-63600722</w:t>
            </w:r>
            <w:bookmarkEnd w:id="13"/>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4" w:name="联系人传真"/>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5" w:name="法人"/>
            <w:r>
              <w:rPr>
                <w:rFonts w:ascii="宋体" w:hAnsi="宋体"/>
                <w:b/>
                <w:color w:val="000000" w:themeColor="text1"/>
                <w:sz w:val="20"/>
                <w:szCs w:val="20"/>
              </w:rPr>
              <w:t>甘光辉</w:t>
            </w:r>
            <w:bookmarkEnd w:id="15"/>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6" w:name="最高管理者"/>
            <w:bookmarkEnd w:id="16"/>
            <w:r>
              <w:rPr>
                <w:rFonts w:ascii="宋体" w:hAnsi="宋体"/>
                <w:b/>
                <w:color w:val="000000" w:themeColor="text1"/>
                <w:sz w:val="20"/>
                <w:szCs w:val="20"/>
              </w:rPr>
              <w:t>甘光辉</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7" w:name="管理者代表"/>
            <w:r>
              <w:rPr>
                <w:rFonts w:ascii="宋体" w:hAnsi="宋体"/>
                <w:b/>
                <w:color w:val="000000" w:themeColor="text1"/>
                <w:sz w:val="20"/>
                <w:szCs w:val="20"/>
              </w:rPr>
              <w:t>邓文斌</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8" w:name="审核范围"/>
            <w:r>
              <w:rPr>
                <w:rFonts w:ascii="宋体" w:hAnsi="宋体"/>
                <w:b/>
                <w:color w:val="000000" w:themeColor="text1"/>
                <w:sz w:val="20"/>
                <w:szCs w:val="20"/>
              </w:rPr>
              <w:t>Q：资产评估、房地产估价（一级）、土地评估</w:t>
            </w:r>
          </w:p>
          <w:p>
            <w:pPr>
              <w:spacing w:line="320" w:lineRule="exact"/>
              <w:rPr>
                <w:rFonts w:ascii="宋体" w:hAnsi="宋体"/>
                <w:b/>
                <w:color w:val="000000" w:themeColor="text1"/>
                <w:sz w:val="20"/>
                <w:szCs w:val="20"/>
              </w:rPr>
            </w:pPr>
            <w:r>
              <w:rPr>
                <w:rFonts w:ascii="宋体" w:hAnsi="宋体"/>
                <w:b/>
                <w:color w:val="000000" w:themeColor="text1"/>
                <w:sz w:val="20"/>
                <w:szCs w:val="20"/>
              </w:rPr>
              <w:t>E：资产评估、房地产估价（一级）、土地评估所涉及的相关环境管理活动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O：资产评估、房地产估价（一级）、土地评估所涉及的相关职业健康安全管理活动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9" w:name="专业代码"/>
            <w:r>
              <w:rPr>
                <w:rFonts w:ascii="宋体" w:hAnsi="宋体"/>
                <w:b/>
                <w:color w:val="000000" w:themeColor="text1"/>
                <w:sz w:val="20"/>
                <w:szCs w:val="20"/>
              </w:rPr>
              <w:t>Q：32.13.01;34.06.00</w:t>
            </w:r>
          </w:p>
          <w:p>
            <w:pPr>
              <w:spacing w:line="320" w:lineRule="exact"/>
              <w:rPr>
                <w:rFonts w:ascii="宋体" w:hAnsi="宋体"/>
                <w:b/>
                <w:color w:val="000000" w:themeColor="text1"/>
                <w:sz w:val="20"/>
                <w:szCs w:val="20"/>
              </w:rPr>
            </w:pPr>
            <w:r>
              <w:rPr>
                <w:rFonts w:ascii="宋体" w:hAnsi="宋体"/>
                <w:b/>
                <w:color w:val="000000" w:themeColor="text1"/>
                <w:sz w:val="20"/>
                <w:szCs w:val="20"/>
              </w:rPr>
              <w:t>E：32.13.01;34.06.00</w:t>
            </w:r>
          </w:p>
          <w:p>
            <w:pPr>
              <w:spacing w:line="320" w:lineRule="exact"/>
              <w:rPr>
                <w:rFonts w:ascii="宋体" w:hAnsi="宋体"/>
                <w:b/>
                <w:color w:val="000000" w:themeColor="text1"/>
                <w:sz w:val="20"/>
                <w:szCs w:val="20"/>
              </w:rPr>
            </w:pPr>
            <w:r>
              <w:rPr>
                <w:rFonts w:ascii="宋体" w:hAnsi="宋体"/>
                <w:b/>
                <w:color w:val="000000" w:themeColor="text1"/>
                <w:sz w:val="20"/>
                <w:szCs w:val="20"/>
              </w:rPr>
              <w:t>O：32.13.01;34.06.00</w:t>
            </w:r>
            <w:bookmarkEnd w:id="19"/>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lang w:eastAsia="zh-CN"/>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20" w:name="体系运行时间"/>
            <w:r>
              <w:rPr>
                <w:rFonts w:ascii="宋体" w:hAnsi="宋体"/>
                <w:b/>
                <w:color w:val="000000" w:themeColor="text1"/>
                <w:sz w:val="20"/>
                <w:szCs w:val="20"/>
              </w:rPr>
              <w:t>2019-08-01 0:00:00</w:t>
            </w:r>
            <w:bookmarkEnd w:id="20"/>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default"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rPr>
              <w:t>行政与人力资源部</w:t>
            </w:r>
            <w:r>
              <w:rPr>
                <w:rFonts w:hint="eastAsia" w:ascii="宋体" w:hAnsi="宋体"/>
                <w:b/>
                <w:color w:val="000000" w:themeColor="text1"/>
                <w:sz w:val="20"/>
                <w:szCs w:val="20"/>
                <w:lang w:eastAsia="zh-CN"/>
              </w:rPr>
              <w:t>（</w:t>
            </w:r>
            <w:r>
              <w:rPr>
                <w:rFonts w:hint="eastAsia" w:ascii="宋体" w:hAnsi="宋体"/>
                <w:b/>
                <w:color w:val="000000" w:themeColor="text1"/>
                <w:sz w:val="20"/>
                <w:szCs w:val="20"/>
                <w:lang w:val="en-US" w:eastAsia="zh-CN"/>
              </w:rPr>
              <w:t>含财务部）</w:t>
            </w:r>
            <w:bookmarkStart w:id="23" w:name="_GoBack"/>
            <w:bookmarkEnd w:id="23"/>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方针、目标管理；文件、记录控制程；管理评审；内审管理；人员、部门职能职责和权限；风险识别评价管理；环境因素识别评价管理</w:t>
            </w:r>
            <w:r>
              <w:rPr>
                <w:rFonts w:hint="eastAsia" w:ascii="宋体" w:hAnsi="宋体"/>
                <w:b/>
                <w:color w:val="000000" w:themeColor="text1"/>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rPr>
              <w:t>市场部</w:t>
            </w:r>
          </w:p>
        </w:tc>
        <w:tc>
          <w:tcPr>
            <w:tcW w:w="6804" w:type="dxa"/>
          </w:tcPr>
          <w:p>
            <w:pPr>
              <w:jc w:val="center"/>
              <w:rPr>
                <w:rFonts w:ascii="宋体" w:hAnsi="宋体"/>
                <w:b/>
                <w:color w:val="000000" w:themeColor="text1"/>
                <w:spacing w:val="-20"/>
                <w:sz w:val="20"/>
                <w:szCs w:val="20"/>
                <w:u w:val="single"/>
              </w:rPr>
            </w:pPr>
            <w:r>
              <w:rPr>
                <w:rFonts w:hint="eastAsia" w:ascii="宋体" w:hAnsi="宋体"/>
                <w:b/>
                <w:color w:val="000000" w:themeColor="text1"/>
                <w:sz w:val="20"/>
                <w:szCs w:val="20"/>
              </w:rPr>
              <w:t>合同管理；客户管理</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采购管理；供方管理</w:t>
            </w:r>
            <w:r>
              <w:rPr>
                <w:rFonts w:hint="eastAsia" w:ascii="宋体" w:hAnsi="宋体"/>
                <w:b/>
                <w:color w:val="000000" w:themeColor="text1"/>
                <w:sz w:val="20"/>
                <w:szCs w:val="20"/>
                <w:lang w:eastAsia="zh-CN"/>
              </w:rPr>
              <w:t>；</w:t>
            </w:r>
            <w:r>
              <w:rPr>
                <w:rFonts w:hint="eastAsia" w:ascii="宋体" w:hAnsi="宋体"/>
                <w:b/>
                <w:color w:val="000000" w:themeColor="text1"/>
                <w:sz w:val="20"/>
                <w:szCs w:val="20"/>
                <w:lang w:val="en-US" w:eastAsia="zh-CN"/>
              </w:rPr>
              <w:t>顾客满意度</w:t>
            </w:r>
            <w:r>
              <w:rPr>
                <w:rFonts w:hint="eastAsia" w:ascii="宋体" w:hAnsi="宋体"/>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bCs w:val="0"/>
                <w:color w:val="000000"/>
                <w:sz w:val="20"/>
                <w:szCs w:val="20"/>
              </w:rPr>
              <w:t>评估部</w:t>
            </w:r>
            <w:r>
              <w:rPr>
                <w:rFonts w:hint="eastAsia" w:ascii="宋体" w:hAnsi="宋体"/>
                <w:b/>
                <w:bCs w:val="0"/>
                <w:color w:val="000000"/>
                <w:sz w:val="20"/>
                <w:szCs w:val="20"/>
                <w:lang w:eastAsia="zh-CN"/>
              </w:rPr>
              <w:t>、</w:t>
            </w:r>
            <w:r>
              <w:rPr>
                <w:rFonts w:hint="eastAsia" w:ascii="宋体" w:hAnsi="宋体"/>
                <w:b/>
                <w:bCs w:val="0"/>
                <w:color w:val="000000"/>
                <w:sz w:val="20"/>
                <w:szCs w:val="20"/>
              </w:rPr>
              <w:t>标准监管部</w:t>
            </w:r>
          </w:p>
        </w:tc>
        <w:tc>
          <w:tcPr>
            <w:tcW w:w="6804" w:type="dxa"/>
          </w:tcPr>
          <w:p>
            <w:pPr>
              <w:jc w:val="center"/>
              <w:rPr>
                <w:rFonts w:ascii="宋体" w:hAnsi="宋体"/>
                <w:b/>
                <w:color w:val="000000" w:themeColor="text1"/>
                <w:spacing w:val="-20"/>
                <w:sz w:val="20"/>
                <w:szCs w:val="20"/>
                <w:u w:val="single"/>
              </w:rPr>
            </w:pPr>
            <w:r>
              <w:rPr>
                <w:rFonts w:hint="eastAsia" w:ascii="宋体" w:hAnsi="宋体"/>
                <w:b/>
                <w:color w:val="000000" w:themeColor="text1"/>
                <w:sz w:val="20"/>
                <w:szCs w:val="20"/>
              </w:rPr>
              <w:t>不合格品控制；纠正和预防措施控制；策划管理；过程监控管理；服务过程管理；设备设施管理</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不合格品控制；监视和测量设备管理；产品验收管理；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rPr>
          <w:rFonts w:hint="eastAsia"/>
          <w:b/>
          <w:color w:val="000000" w:themeColor="text1"/>
          <w:spacing w:val="-6"/>
          <w:szCs w:val="21"/>
        </w:rPr>
      </w:pPr>
    </w:p>
    <w:p>
      <w:pPr>
        <w:ind w:left="-840" w:leftChars="-400" w:firstLine="0" w:firstLineChars="0"/>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9"/>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ascii="宋体" w:hAnsi="宋体"/>
                <w:b/>
                <w:color w:val="000000"/>
                <w:sz w:val="20"/>
                <w:szCs w:val="20"/>
              </w:rPr>
              <w:t>资产评估、房地产估价（一级）、土地评估</w:t>
            </w:r>
          </w:p>
        </w:tc>
        <w:tc>
          <w:tcPr>
            <w:tcW w:w="2519" w:type="dxa"/>
          </w:tcPr>
          <w:p>
            <w:pPr>
              <w:rPr>
                <w:rFonts w:hint="eastAsia" w:eastAsia="宋体"/>
                <w:b/>
                <w:color w:val="000000" w:themeColor="text1"/>
                <w:sz w:val="20"/>
                <w:szCs w:val="20"/>
                <w:lang w:val="en-US" w:eastAsia="zh-CN"/>
              </w:rPr>
            </w:pPr>
            <w:r>
              <w:rPr>
                <w:rFonts w:hint="eastAsia"/>
                <w:b/>
                <w:color w:val="000000" w:themeColor="text1"/>
                <w:sz w:val="20"/>
                <w:szCs w:val="20"/>
                <w:lang w:val="en-US" w:eastAsia="zh-CN"/>
              </w:rPr>
              <w:t>服务</w:t>
            </w:r>
          </w:p>
        </w:tc>
        <w:tc>
          <w:tcPr>
            <w:tcW w:w="1843" w:type="dxa"/>
          </w:tcPr>
          <w:p>
            <w:pPr>
              <w:rPr>
                <w:b/>
                <w:color w:val="000000" w:themeColor="text1"/>
                <w:sz w:val="20"/>
                <w:szCs w:val="20"/>
              </w:rPr>
            </w:pPr>
          </w:p>
        </w:tc>
        <w:tc>
          <w:tcPr>
            <w:tcW w:w="3543" w:type="dxa"/>
          </w:tcPr>
          <w:p>
            <w:pPr>
              <w:rPr>
                <w:b/>
                <w:color w:val="000000" w:themeColor="text1"/>
                <w:sz w:val="20"/>
                <w:szCs w:val="20"/>
              </w:rPr>
            </w:pPr>
            <w:r>
              <w:rPr>
                <w:rFonts w:hint="eastAsia"/>
                <w:b w:val="0"/>
                <w:bCs/>
                <w:sz w:val="20"/>
              </w:rPr>
              <w:t>《</w:t>
            </w:r>
            <w:r>
              <w:rPr>
                <w:rFonts w:hint="eastAsia" w:ascii="Times New Roman" w:hAnsi="Times New Roman" w:cs="Times New Roman"/>
                <w:b w:val="0"/>
                <w:bCs/>
                <w:sz w:val="20"/>
                <w:szCs w:val="22"/>
              </w:rPr>
              <w:t>城镇土地估价规程》（GB/T 18508--2014）《城镇土地分等定级规程》（GB/T 18507-2014）《土地利用现状分类》GB/T 21010-2017《房地产估价规范》（GB/T50291—2015）《房地产估价基本术语标准》（GB/T50899-2013）《城市用地分类与规划建设用地标准》（GB50137-2011）《中华人民共和国物权法》《中华人民共和国资产评估法》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64" w:leftChars="-337" w:hanging="544" w:hangingChars="271"/>
        <w:rPr>
          <w:b/>
          <w:color w:val="000000" w:themeColor="text1"/>
          <w:spacing w:val="-10"/>
          <w:szCs w:val="21"/>
        </w:rPr>
      </w:pPr>
      <w:r>
        <w:rPr>
          <w:rFonts w:hint="eastAsia" w:ascii="宋体" w:hAnsi="宋体"/>
          <w:b/>
          <w:color w:val="000000" w:themeColor="text1"/>
          <w:sz w:val="20"/>
          <w:szCs w:val="20"/>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2019</w:t>
      </w:r>
      <w:r>
        <w:rPr>
          <w:rFonts w:hint="eastAsia"/>
          <w:b/>
          <w:color w:val="000000" w:themeColor="text1"/>
          <w:spacing w:val="-10"/>
          <w:szCs w:val="21"/>
        </w:rPr>
        <w:t>年</w:t>
      </w:r>
      <w:r>
        <w:rPr>
          <w:rFonts w:hint="eastAsia"/>
          <w:b/>
          <w:color w:val="000000" w:themeColor="text1"/>
          <w:spacing w:val="-10"/>
          <w:szCs w:val="21"/>
          <w:lang w:val="en-US" w:eastAsia="zh-CN"/>
        </w:rPr>
        <w:t>8</w:t>
      </w:r>
      <w:r>
        <w:rPr>
          <w:rFonts w:hint="eastAsia"/>
          <w:b/>
          <w:color w:val="000000" w:themeColor="text1"/>
          <w:spacing w:val="-10"/>
          <w:szCs w:val="21"/>
        </w:rPr>
        <w:t>月</w:t>
      </w:r>
      <w:bookmarkStart w:id="21" w:name="OLE_LINK1"/>
      <w:r>
        <w:rPr>
          <w:rFonts w:hint="eastAsia"/>
          <w:b/>
          <w:color w:val="000000" w:themeColor="text1"/>
          <w:spacing w:val="-10"/>
          <w:szCs w:val="21"/>
          <w:lang w:val="en-US" w:eastAsia="zh-CN"/>
        </w:rPr>
        <w:t>1</w:t>
      </w:r>
      <w:r>
        <w:rPr>
          <w:rFonts w:hint="eastAsia"/>
          <w:b/>
          <w:color w:val="000000" w:themeColor="text1"/>
          <w:spacing w:val="-10"/>
          <w:szCs w:val="21"/>
        </w:rPr>
        <w:t>日</w:t>
      </w:r>
      <w:bookmarkEnd w:id="21"/>
      <w:r>
        <w:rPr>
          <w:rFonts w:hint="eastAsia"/>
          <w:b/>
          <w:color w:val="000000" w:themeColor="text1"/>
          <w:spacing w:val="-10"/>
          <w:szCs w:val="21"/>
        </w:rPr>
        <w:t>至</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9</w:t>
      </w:r>
      <w:r>
        <w:rPr>
          <w:rFonts w:hint="eastAsia"/>
          <w:b/>
          <w:color w:val="000000" w:themeColor="text1"/>
          <w:spacing w:val="-10"/>
          <w:szCs w:val="21"/>
        </w:rPr>
        <w:t>月</w:t>
      </w:r>
      <w:r>
        <w:rPr>
          <w:rFonts w:hint="eastAsia"/>
          <w:b/>
          <w:color w:val="000000" w:themeColor="text1"/>
          <w:spacing w:val="-10"/>
          <w:szCs w:val="21"/>
          <w:lang w:val="en-US" w:eastAsia="zh-CN"/>
        </w:rPr>
        <w:t>26</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w:t>
      </w:r>
      <w:r>
        <w:rPr>
          <w:rFonts w:hint="eastAsia"/>
          <w:b/>
          <w:color w:val="000000" w:themeColor="text1"/>
          <w:spacing w:val="-10"/>
          <w:szCs w:val="21"/>
          <w:lang w:val="en-US" w:eastAsia="zh-CN"/>
        </w:rPr>
        <w:t xml:space="preserve">    </w:t>
      </w:r>
      <w:r>
        <w:rPr>
          <w:rFonts w:hint="eastAsia"/>
          <w:b/>
          <w:color w:val="000000" w:themeColor="text1"/>
          <w:spacing w:val="-10"/>
          <w:szCs w:val="21"/>
        </w:rPr>
        <w:t>年</w:t>
      </w:r>
      <w:r>
        <w:rPr>
          <w:rFonts w:hint="eastAsia"/>
          <w:b/>
          <w:color w:val="000000" w:themeColor="text1"/>
          <w:spacing w:val="-10"/>
          <w:szCs w:val="21"/>
          <w:lang w:val="en-US" w:eastAsia="zh-CN"/>
        </w:rPr>
        <w:t xml:space="preserve">  </w:t>
      </w:r>
      <w:r>
        <w:rPr>
          <w:rFonts w:hint="eastAsia"/>
          <w:b/>
          <w:color w:val="000000" w:themeColor="text1"/>
          <w:spacing w:val="-10"/>
          <w:szCs w:val="21"/>
        </w:rPr>
        <w:t>月</w:t>
      </w:r>
      <w:r>
        <w:rPr>
          <w:rFonts w:hint="eastAsia"/>
          <w:b/>
          <w:color w:val="000000" w:themeColor="text1"/>
          <w:spacing w:val="-10"/>
          <w:szCs w:val="21"/>
          <w:lang w:val="en-US" w:eastAsia="zh-CN"/>
        </w:rPr>
        <w:t xml:space="preserve">  </w:t>
      </w:r>
      <w:r>
        <w:rPr>
          <w:rFonts w:hint="eastAsia"/>
          <w:b/>
          <w:color w:val="000000" w:themeColor="text1"/>
          <w:spacing w:val="-10"/>
          <w:szCs w:val="21"/>
        </w:rPr>
        <w:t>日至</w:t>
      </w:r>
      <w:r>
        <w:rPr>
          <w:rFonts w:hint="eastAsia"/>
          <w:b/>
          <w:color w:val="000000" w:themeColor="text1"/>
          <w:spacing w:val="-10"/>
          <w:szCs w:val="21"/>
          <w:lang w:val="en-US" w:eastAsia="zh-CN"/>
        </w:rPr>
        <w:t xml:space="preserve">    </w:t>
      </w:r>
      <w:r>
        <w:rPr>
          <w:rFonts w:hint="eastAsia"/>
          <w:b/>
          <w:color w:val="000000" w:themeColor="text1"/>
          <w:spacing w:val="-10"/>
          <w:szCs w:val="21"/>
        </w:rPr>
        <w:t>年</w:t>
      </w:r>
      <w:r>
        <w:rPr>
          <w:rFonts w:hint="eastAsia"/>
          <w:b/>
          <w:color w:val="000000" w:themeColor="text1"/>
          <w:spacing w:val="-10"/>
          <w:szCs w:val="21"/>
          <w:lang w:val="en-US" w:eastAsia="zh-CN"/>
        </w:rPr>
        <w:t xml:space="preserve">  </w:t>
      </w:r>
      <w:r>
        <w:rPr>
          <w:rFonts w:hint="eastAsia"/>
          <w:b/>
          <w:color w:val="000000" w:themeColor="text1"/>
          <w:spacing w:val="-10"/>
          <w:szCs w:val="21"/>
        </w:rPr>
        <w:t>月</w:t>
      </w:r>
      <w:r>
        <w:rPr>
          <w:rFonts w:hint="eastAsia"/>
          <w:b/>
          <w:color w:val="000000" w:themeColor="text1"/>
          <w:spacing w:val="-10"/>
          <w:szCs w:val="21"/>
          <w:lang w:val="en-US" w:eastAsia="zh-CN"/>
        </w:rPr>
        <w:t xml:space="preserve">  </w:t>
      </w:r>
      <w:r>
        <w:rPr>
          <w:rFonts w:hint="eastAsia"/>
          <w:b/>
          <w:color w:val="000000" w:themeColor="text1"/>
          <w:spacing w:val="-10"/>
          <w:szCs w:val="21"/>
        </w:rPr>
        <w:t>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64" w:leftChars="-337" w:hanging="544" w:hangingChars="271"/>
        <w:rPr>
          <w:b/>
          <w:color w:val="000000" w:themeColor="text1"/>
          <w:spacing w:val="-10"/>
          <w:szCs w:val="21"/>
        </w:rPr>
      </w:pPr>
      <w:r>
        <w:rPr>
          <w:rFonts w:hint="eastAsia" w:ascii="宋体" w:hAnsi="宋体"/>
          <w:b/>
          <w:color w:val="000000" w:themeColor="text1"/>
          <w:sz w:val="20"/>
          <w:szCs w:val="20"/>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rFonts w:hint="eastAsia"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line="360" w:lineRule="auto"/>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vAlign w:val="top"/>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rPr>
                <w:rFonts w:ascii="Times New Roman" w:hAnsi="Times New Roman" w:eastAsia="宋体" w:cs="Times New Roman"/>
                <w:b/>
                <w:color w:val="000000" w:themeColor="text1"/>
                <w:kern w:val="2"/>
                <w:sz w:val="20"/>
                <w:szCs w:val="20"/>
                <w:lang w:val="en-US" w:eastAsia="zh-CN" w:bidi="ar-SA"/>
              </w:rPr>
            </w:pPr>
            <w:r>
              <w:rPr>
                <w:rFonts w:hint="eastAsia" w:ascii="宋体" w:hAnsi="宋体"/>
                <w:color w:val="000000" w:themeColor="text1"/>
              </w:rPr>
              <w:t>组织对内外部因素、相关方需求和期望进行了充分的识别，策划和实施有效。组织确定了体系的边界，基本适用。</w:t>
            </w:r>
            <w:r>
              <w:rPr>
                <w:rFonts w:hint="eastAsia" w:asciiTheme="minorEastAsia" w:hAnsiTheme="minorEastAsia" w:eastAsiaTheme="minorEastAsia" w:cstheme="minorEastAsia"/>
                <w:szCs w:val="21"/>
              </w:rPr>
              <w:t>现有员工</w:t>
            </w:r>
            <w:r>
              <w:rPr>
                <w:rFonts w:hint="eastAsia" w:asciiTheme="minorEastAsia" w:hAnsiTheme="minorEastAsia" w:eastAsiaTheme="minorEastAsia" w:cstheme="minorEastAsia"/>
                <w:szCs w:val="21"/>
                <w:lang w:val="en-US" w:eastAsia="zh-CN"/>
              </w:rPr>
              <w:t>55</w:t>
            </w:r>
            <w:r>
              <w:rPr>
                <w:rFonts w:hint="eastAsia" w:asciiTheme="minorEastAsia" w:hAnsiTheme="minorEastAsia" w:eastAsiaTheme="minorEastAsia" w:cstheme="minorEastAsia"/>
                <w:szCs w:val="21"/>
              </w:rPr>
              <w:t>人，目前经营情况良好</w:t>
            </w:r>
            <w:r>
              <w:rPr>
                <w:rFonts w:hint="eastAsia" w:ascii="宋体" w:hAnsi="宋体"/>
                <w:szCs w:val="21"/>
              </w:rPr>
              <w:t>。组织对内外部因素、相关方需求和期望进行了充分的识别，策划和实施有效。确定了体系的边界，基本适用。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rPr>
                <w:rFonts w:ascii="Times New Roman" w:hAnsi="Times New Roman" w:eastAsia="宋体" w:cs="Times New Roman"/>
                <w:b/>
                <w:color w:val="000000" w:themeColor="text1"/>
                <w:kern w:val="2"/>
                <w:sz w:val="20"/>
                <w:szCs w:val="20"/>
                <w:lang w:val="en-US" w:eastAsia="zh-CN" w:bidi="ar-SA"/>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spacing w:line="280" w:lineRule="exact"/>
            </w:pPr>
            <w:r>
              <w:t>3.</w:t>
            </w:r>
            <w:r>
              <w:rPr>
                <w:rFonts w:hint="eastAsia"/>
              </w:rPr>
              <w:t>■质量/■环境/■职业健康安全方针（组织方针的适宜性/持续适宜性、方针的传达及职工的理解等）</w:t>
            </w:r>
          </w:p>
          <w:p>
            <w:pPr>
              <w:rPr>
                <w:rFonts w:hint="eastAsia" w:asciiTheme="minorEastAsia" w:hAnsiTheme="minorEastAsia" w:eastAsiaTheme="minorEastAsia" w:cstheme="minorEastAsia"/>
                <w:b w:val="0"/>
                <w:bCs w:val="0"/>
                <w:sz w:val="21"/>
                <w:szCs w:val="21"/>
                <w:lang w:val="en-US" w:eastAsia="zh-CN"/>
              </w:rPr>
            </w:pPr>
            <w:r>
              <w:rPr>
                <w:rFonts w:hint="eastAsia"/>
              </w:rPr>
              <w:t>最高管理者组织制定了方针：现行的管理方针在管理手册有专门的释议，具备适宜性。通过会议、张贴等方式进行传达宣贯，管理绩效表明其方针能够通过管理体系加以有效实施、实现及动态管理，实际未发生变更。</w:t>
            </w:r>
            <w:r>
              <w:rPr>
                <w:rFonts w:hint="eastAsia" w:asciiTheme="minorEastAsia" w:hAnsiTheme="minorEastAsia" w:eastAsiaTheme="minorEastAsia" w:cstheme="minorEastAsia"/>
                <w:b w:val="0"/>
                <w:bCs w:val="0"/>
                <w:sz w:val="21"/>
                <w:szCs w:val="21"/>
              </w:rPr>
              <w:t>质量</w:t>
            </w:r>
            <w:r>
              <w:rPr>
                <w:rFonts w:hint="eastAsia" w:asciiTheme="minorEastAsia" w:hAnsiTheme="minorEastAsia" w:eastAsiaTheme="minorEastAsia" w:cstheme="minorEastAsia"/>
                <w:b w:val="0"/>
                <w:bCs w:val="0"/>
                <w:sz w:val="21"/>
                <w:szCs w:val="21"/>
                <w:lang w:val="en-US" w:eastAsia="zh-CN"/>
              </w:rPr>
              <w:t>方针：</w:t>
            </w:r>
          </w:p>
          <w:p>
            <w:pPr>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eastAsia="zh-CN"/>
              </w:rPr>
              <w:t>公正 公平 科学 合理</w:t>
            </w:r>
            <w:r>
              <w:rPr>
                <w:rFonts w:hint="eastAsia" w:asciiTheme="minorEastAsia" w:hAnsiTheme="minorEastAsia" w:eastAsiaTheme="minorEastAsia" w:cstheme="minorEastAsia"/>
                <w:b w:val="0"/>
                <w:bCs w:val="0"/>
                <w:sz w:val="21"/>
                <w:szCs w:val="21"/>
                <w:lang w:val="en-US" w:eastAsia="zh-CN"/>
              </w:rPr>
              <w:t xml:space="preserve"> </w:t>
            </w:r>
            <w:r>
              <w:rPr>
                <w:rFonts w:hint="eastAsia" w:asciiTheme="minorEastAsia" w:hAnsiTheme="minorEastAsia" w:eastAsiaTheme="minorEastAsia" w:cstheme="minorEastAsia"/>
                <w:b w:val="0"/>
                <w:bCs w:val="0"/>
                <w:sz w:val="21"/>
                <w:szCs w:val="21"/>
                <w:lang w:eastAsia="zh-CN"/>
              </w:rPr>
              <w:t xml:space="preserve">优质 高效 </w:t>
            </w:r>
            <w:r>
              <w:rPr>
                <w:rFonts w:hint="eastAsia" w:asciiTheme="minorEastAsia" w:hAnsiTheme="minorEastAsia" w:eastAsiaTheme="minorEastAsia" w:cstheme="minorEastAsia"/>
                <w:b w:val="0"/>
                <w:bCs w:val="0"/>
                <w:sz w:val="21"/>
                <w:szCs w:val="21"/>
                <w:lang w:val="en-US" w:eastAsia="zh-CN"/>
              </w:rPr>
              <w:t xml:space="preserve"> </w:t>
            </w:r>
            <w:r>
              <w:rPr>
                <w:rFonts w:hint="eastAsia" w:asciiTheme="minorEastAsia" w:hAnsiTheme="minorEastAsia" w:eastAsiaTheme="minorEastAsia" w:cstheme="minorEastAsia"/>
                <w:b w:val="0"/>
                <w:bCs w:val="0"/>
                <w:sz w:val="21"/>
                <w:szCs w:val="21"/>
                <w:lang w:eastAsia="zh-CN"/>
              </w:rPr>
              <w:t>责任 专业</w:t>
            </w:r>
            <w:r>
              <w:rPr>
                <w:rFonts w:hint="eastAsia" w:asciiTheme="minorEastAsia" w:hAnsiTheme="minorEastAsia" w:eastAsiaTheme="minorEastAsia" w:cstheme="minorEastAsia"/>
                <w:b w:val="0"/>
                <w:bCs w:val="0"/>
                <w:sz w:val="21"/>
                <w:szCs w:val="21"/>
                <w:lang w:val="en-US" w:eastAsia="zh-CN"/>
              </w:rPr>
              <w:t xml:space="preserve"> </w:t>
            </w:r>
            <w:r>
              <w:rPr>
                <w:rFonts w:hint="eastAsia" w:asciiTheme="minorEastAsia" w:hAnsiTheme="minorEastAsia" w:eastAsiaTheme="minorEastAsia" w:cstheme="minorEastAsia"/>
                <w:b w:val="0"/>
                <w:bCs w:val="0"/>
                <w:sz w:val="21"/>
                <w:szCs w:val="21"/>
                <w:lang w:eastAsia="zh-CN"/>
              </w:rPr>
              <w:t>诚信经营、顾客满意、持续改进、以及认真仔细，快速响应，坚守承诺，精益求精,为顾客提供优质的服务。</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eastAsia="zh-CN"/>
              </w:rPr>
              <w:t>环境、职业健康安全</w:t>
            </w:r>
            <w:r>
              <w:rPr>
                <w:rFonts w:hint="eastAsia" w:asciiTheme="minorEastAsia" w:hAnsiTheme="minorEastAsia" w:eastAsiaTheme="minorEastAsia" w:cstheme="minorEastAsia"/>
                <w:b w:val="0"/>
                <w:bCs w:val="0"/>
                <w:sz w:val="21"/>
                <w:szCs w:val="21"/>
              </w:rPr>
              <w:t>方针：</w:t>
            </w:r>
          </w:p>
          <w:p>
            <w:pPr>
              <w:spacing w:line="400" w:lineRule="exact"/>
              <w:jc w:val="left"/>
              <w:rPr>
                <w:rFonts w:ascii="Times New Roman" w:hAnsi="Times New Roman" w:eastAsia="宋体" w:cs="Times New Roman"/>
                <w:kern w:val="2"/>
                <w:sz w:val="21"/>
                <w:szCs w:val="24"/>
                <w:lang w:val="en-US" w:eastAsia="zh-CN" w:bidi="ar-SA"/>
              </w:rPr>
            </w:pPr>
            <w:r>
              <w:rPr>
                <w:rFonts w:hint="eastAsia" w:ascii="宋体" w:hAnsi="宋体"/>
                <w:szCs w:val="21"/>
              </w:rPr>
              <w:t>以人为本</w:t>
            </w:r>
            <w:r>
              <w:rPr>
                <w:rFonts w:hint="eastAsia" w:ascii="宋体" w:hAnsi="宋体"/>
                <w:szCs w:val="21"/>
                <w:lang w:val="en-US" w:eastAsia="zh-CN"/>
              </w:rPr>
              <w:t xml:space="preserve"> </w:t>
            </w:r>
            <w:r>
              <w:rPr>
                <w:rFonts w:hint="eastAsia" w:ascii="宋体" w:hAnsi="宋体"/>
                <w:szCs w:val="21"/>
              </w:rPr>
              <w:t>关爱生命  保护环境  珍惜资源  和谐发展。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eastAsia="宋体" w:cs="Times New Roman"/>
                <w:color w:val="000000" w:themeColor="text1"/>
                <w:kern w:val="2"/>
                <w:sz w:val="21"/>
                <w:szCs w:val="24"/>
                <w:lang w:val="en-US" w:eastAsia="zh-CN" w:bidi="ar-SA"/>
              </w:rPr>
            </w:pPr>
            <w:r>
              <w:rPr>
                <w:rFonts w:hint="eastAsia" w:ascii="宋体" w:hAnsi="宋体"/>
                <w:color w:val="000000" w:themeColor="text1"/>
              </w:rPr>
              <w:t>制定并实施了相关程序和安全生产管理制度</w:t>
            </w:r>
            <w:r>
              <w:rPr>
                <w:rFonts w:ascii="宋体" w:hAnsi="宋体"/>
                <w:color w:val="000000" w:themeColor="text1"/>
              </w:rPr>
              <w:t>，</w:t>
            </w:r>
            <w:r>
              <w:rPr>
                <w:rFonts w:hint="eastAsia" w:ascii="宋体" w:hAnsi="宋体"/>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0"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质量管理体系过程有：合同评审、</w:t>
            </w:r>
            <w:r>
              <w:rPr>
                <w:rFonts w:hint="eastAsia" w:ascii="宋体" w:hAnsi="宋体"/>
                <w:b/>
                <w:color w:val="000000" w:themeColor="text1"/>
                <w:sz w:val="20"/>
                <w:szCs w:val="20"/>
                <w:lang w:val="en-US" w:eastAsia="zh-CN"/>
              </w:rPr>
              <w:t>勘察过程</w:t>
            </w:r>
            <w:r>
              <w:rPr>
                <w:rFonts w:hint="eastAsia" w:ascii="宋体" w:hAnsi="宋体"/>
                <w:b/>
                <w:color w:val="000000" w:themeColor="text1"/>
                <w:sz w:val="20"/>
                <w:szCs w:val="20"/>
              </w:rPr>
              <w:t>、</w:t>
            </w:r>
            <w:r>
              <w:rPr>
                <w:rFonts w:hint="eastAsia" w:ascii="宋体" w:hAnsi="宋体"/>
                <w:b/>
                <w:color w:val="000000" w:themeColor="text1"/>
                <w:sz w:val="20"/>
                <w:szCs w:val="20"/>
                <w:lang w:eastAsia="zh-CN"/>
              </w:rPr>
              <w:t>方案实施、交付</w:t>
            </w:r>
            <w:r>
              <w:rPr>
                <w:rFonts w:hint="eastAsia" w:ascii="宋体" w:hAnsi="宋体"/>
                <w:b/>
                <w:color w:val="000000" w:themeColor="text1"/>
                <w:sz w:val="20"/>
                <w:szCs w:val="20"/>
              </w:rPr>
              <w:t>过程等。</w:t>
            </w:r>
          </w:p>
          <w:p>
            <w:pPr>
              <w:tabs>
                <w:tab w:val="left" w:pos="540"/>
              </w:tabs>
              <w:spacing w:line="300" w:lineRule="exact"/>
              <w:ind w:left="201" w:hanging="201" w:hangingChars="100"/>
              <w:rPr>
                <w:rFonts w:hint="default" w:ascii="宋体" w:hAnsi="宋体" w:eastAsia="宋体" w:cs="Times New Roman"/>
                <w:b/>
                <w:color w:val="000000" w:themeColor="text1"/>
                <w:sz w:val="20"/>
                <w:szCs w:val="20"/>
                <w:highlight w:val="none"/>
                <w:lang w:val="en-US" w:eastAsia="zh-CN"/>
              </w:rPr>
            </w:pPr>
            <w:r>
              <w:rPr>
                <w:rFonts w:hint="eastAsia" w:ascii="宋体" w:hAnsi="宋体"/>
                <w:b/>
                <w:color w:val="000000" w:themeColor="text1"/>
                <w:sz w:val="20"/>
                <w:szCs w:val="20"/>
              </w:rPr>
              <w:t>其中关键</w:t>
            </w:r>
            <w:r>
              <w:rPr>
                <w:rFonts w:hint="eastAsia" w:ascii="宋体" w:hAnsi="宋体"/>
                <w:b/>
                <w:color w:val="000000" w:themeColor="text1"/>
                <w:sz w:val="20"/>
                <w:szCs w:val="20"/>
                <w:highlight w:val="none"/>
              </w:rPr>
              <w:t>过程有：</w:t>
            </w:r>
            <w:r>
              <w:rPr>
                <w:rFonts w:hint="eastAsia" w:ascii="宋体" w:hAnsi="宋体"/>
                <w:b/>
                <w:color w:val="000000" w:themeColor="text1"/>
                <w:sz w:val="20"/>
                <w:szCs w:val="20"/>
                <w:lang w:val="en-US" w:eastAsia="zh-CN"/>
              </w:rPr>
              <w:t>勘测</w:t>
            </w:r>
          </w:p>
          <w:p>
            <w:pPr>
              <w:tabs>
                <w:tab w:val="left" w:pos="540"/>
              </w:tabs>
              <w:spacing w:line="300" w:lineRule="exact"/>
              <w:ind w:left="201" w:hanging="201" w:hangingChars="100"/>
              <w:rPr>
                <w:rFonts w:hint="eastAsia" w:ascii="宋体" w:hAnsi="宋体" w:eastAsia="宋体"/>
                <w:b/>
                <w:color w:val="000000" w:themeColor="text1"/>
                <w:sz w:val="20"/>
                <w:szCs w:val="20"/>
                <w:highlight w:val="none"/>
                <w:u w:val="single"/>
                <w:lang w:val="en-US" w:eastAsia="zh-CN"/>
              </w:rPr>
            </w:pPr>
            <w:r>
              <w:rPr>
                <w:rFonts w:hint="eastAsia" w:ascii="宋体" w:hAnsi="宋体" w:cs="Times New Roman"/>
                <w:b/>
                <w:color w:val="000000" w:themeColor="text1"/>
                <w:sz w:val="20"/>
                <w:szCs w:val="20"/>
                <w:highlight w:val="none"/>
              </w:rPr>
              <w:t xml:space="preserve">需要确认过程： </w:t>
            </w:r>
            <w:r>
              <w:rPr>
                <w:rFonts w:hint="eastAsia" w:ascii="宋体" w:hAnsi="宋体" w:cs="Times New Roman"/>
                <w:b/>
                <w:color w:val="000000" w:themeColor="text1"/>
                <w:sz w:val="20"/>
                <w:szCs w:val="20"/>
                <w:highlight w:val="none"/>
                <w:lang w:val="en-US" w:eastAsia="zh-CN"/>
              </w:rPr>
              <w:t>无</w:t>
            </w:r>
          </w:p>
          <w:p>
            <w:pPr>
              <w:tabs>
                <w:tab w:val="left" w:pos="1080"/>
              </w:tabs>
              <w:spacing w:line="400" w:lineRule="exact"/>
              <w:rPr>
                <w:rFonts w:hint="default" w:ascii="宋体" w:hAnsi="宋体" w:eastAsia="宋体" w:cs="Times New Roman"/>
                <w:b/>
                <w:color w:val="000000" w:themeColor="text1"/>
                <w:kern w:val="2"/>
                <w:sz w:val="21"/>
                <w:szCs w:val="21"/>
                <w:lang w:val="en-US" w:eastAsia="zh-CN" w:bidi="ar-SA"/>
              </w:rPr>
            </w:pPr>
            <w:r>
              <w:rPr>
                <w:rFonts w:hint="eastAsia" w:ascii="宋体" w:hAnsi="宋体"/>
                <w:b/>
                <w:color w:val="000000" w:themeColor="text1"/>
                <w:sz w:val="20"/>
                <w:szCs w:val="20"/>
                <w:highlight w:val="none"/>
              </w:rPr>
              <w:t>不适用条款是</w:t>
            </w:r>
            <w:r>
              <w:rPr>
                <w:rFonts w:hint="eastAsia" w:ascii="宋体" w:hAnsi="宋体" w:cs="Times New Roman"/>
                <w:b/>
                <w:color w:val="000000" w:themeColor="text1"/>
                <w:sz w:val="20"/>
                <w:szCs w:val="20"/>
                <w:highlight w:val="none"/>
              </w:rPr>
              <w:t xml:space="preserve"> </w:t>
            </w:r>
            <w:r>
              <w:rPr>
                <w:rFonts w:hint="eastAsia" w:ascii="宋体" w:hAnsi="宋体" w:cs="Times New Roman"/>
                <w:b/>
                <w:color w:val="000000" w:themeColor="text1"/>
                <w:sz w:val="20"/>
                <w:szCs w:val="20"/>
                <w:highlight w:val="none"/>
                <w:u w:val="single"/>
                <w:lang w:val="en-US" w:eastAsia="zh-CN"/>
              </w:rPr>
              <w:t>8.3</w:t>
            </w:r>
            <w:r>
              <w:rPr>
                <w:rFonts w:hint="eastAsia" w:ascii="宋体" w:hAnsi="宋体" w:cs="Times New Roman"/>
                <w:b/>
                <w:color w:val="000000" w:themeColor="text1"/>
                <w:sz w:val="20"/>
                <w:szCs w:val="20"/>
                <w:highlight w:val="none"/>
                <w:u w:val="single"/>
              </w:rPr>
              <w:t xml:space="preserve">  </w:t>
            </w:r>
            <w:r>
              <w:rPr>
                <w:rFonts w:hint="eastAsia" w:ascii="宋体" w:hAnsi="宋体" w:cs="Times New Roman"/>
                <w:b/>
                <w:color w:val="000000" w:themeColor="text1"/>
                <w:sz w:val="20"/>
                <w:szCs w:val="20"/>
                <w:highlight w:val="none"/>
              </w:rPr>
              <w:t xml:space="preserve"> ，不适用理由：</w:t>
            </w:r>
            <w:r>
              <w:rPr>
                <w:rFonts w:hint="eastAsia" w:ascii="宋体" w:hAnsi="宋体"/>
                <w:color w:val="000000"/>
                <w:szCs w:val="21"/>
                <w:highlight w:val="none"/>
                <w:u w:val="single"/>
                <w:lang w:eastAsia="zh-CN"/>
              </w:rPr>
              <w:t>服公司评估、鉴定的服务为常规服务未涉及设计开发过程。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15" w:firstLineChars="150"/>
              <w:rPr>
                <w:rFonts w:cs="Times New Roman" w:asciiTheme="minorEastAsia" w:hAnsiTheme="minorEastAsia" w:eastAsiaTheme="minorEastAsia"/>
                <w:b/>
                <w:color w:val="000000" w:themeColor="text1"/>
                <w:kern w:val="2"/>
                <w:sz w:val="20"/>
                <w:szCs w:val="20"/>
                <w:lang w:val="en-US" w:eastAsia="zh-CN" w:bidi="ar-SA"/>
              </w:rPr>
            </w:pPr>
            <w:r>
              <w:rPr>
                <w:rFonts w:hint="eastAsia" w:asciiTheme="minorEastAsia" w:hAnsiTheme="minorEastAsia" w:eastAsiaTheme="minor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w:t>
            </w:r>
            <w:r>
              <w:rPr>
                <w:rFonts w:hint="eastAsia" w:asciiTheme="minorEastAsia" w:hAnsiTheme="minorEastAsia" w:eastAsiaTheme="minorEastAsia"/>
                <w:bCs/>
                <w:iCs/>
                <w:lang w:eastAsia="zh-CN"/>
              </w:rPr>
              <w:t>应急预案和管理方案</w:t>
            </w:r>
            <w:r>
              <w:rPr>
                <w:rFonts w:hint="eastAsia" w:asciiTheme="minorEastAsia" w:hAnsiTheme="minorEastAsia" w:eastAsiaTheme="minorEastAsia"/>
                <w:bCs/>
                <w:iCs/>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tabs>
                <w:tab w:val="left" w:pos="1080"/>
              </w:tabs>
              <w:spacing w:line="400" w:lineRule="exact"/>
              <w:rPr>
                <w:rFonts w:ascii="宋体" w:hAnsi="宋体" w:eastAsia="宋体" w:cs="Times New Roman"/>
                <w:b/>
                <w:color w:val="000000" w:themeColor="text1"/>
                <w:spacing w:val="-8"/>
                <w:kern w:val="2"/>
                <w:sz w:val="20"/>
                <w:szCs w:val="20"/>
                <w:lang w:val="en-US" w:eastAsia="zh-CN" w:bidi="ar-SA"/>
              </w:rPr>
            </w:pPr>
            <w:r>
              <w:rPr>
                <w:rFonts w:hint="eastAsia" w:ascii="宋体" w:hAnsi="宋体"/>
                <w:color w:val="000000" w:themeColor="text1"/>
              </w:rPr>
              <w:t>组织建立了危险源识别、评价控制程序，识别评价了危险源、风险相关的过程，评价出了重要危险源</w:t>
            </w:r>
            <w:r>
              <w:rPr>
                <w:rFonts w:hint="eastAsia" w:ascii="宋体" w:hAnsi="宋体"/>
                <w:color w:val="000000" w:themeColor="text1"/>
                <w:lang w:eastAsia="zh-CN"/>
              </w:rPr>
              <w:t>：</w:t>
            </w:r>
            <w:r>
              <w:rPr>
                <w:rFonts w:hint="eastAsia" w:ascii="宋体" w:hAnsi="宋体"/>
                <w:color w:val="000000" w:themeColor="text1"/>
              </w:rPr>
              <w:t>火灾、</w:t>
            </w:r>
            <w:r>
              <w:rPr>
                <w:rFonts w:hint="eastAsia" w:ascii="宋体" w:hAnsi="宋体"/>
                <w:color w:val="000000" w:themeColor="text1"/>
                <w:lang w:eastAsia="zh-CN"/>
              </w:rPr>
              <w:t>触电、</w:t>
            </w:r>
            <w:r>
              <w:rPr>
                <w:rFonts w:hint="eastAsia" w:ascii="宋体" w:hAnsi="宋体"/>
                <w:color w:val="000000" w:themeColor="text1"/>
                <w:lang w:val="en-US" w:eastAsia="zh-CN"/>
              </w:rPr>
              <w:t>交通重大伤亡事故</w:t>
            </w:r>
            <w:r>
              <w:rPr>
                <w:rFonts w:hint="eastAsia" w:ascii="Times New Roman" w:hAnsi="Times New Roman" w:cs="Times New Roman"/>
                <w:szCs w:val="21"/>
                <w:highlight w:val="none"/>
                <w:lang w:eastAsia="zh-CN"/>
              </w:rPr>
              <w:t>，与之相关的过程有合同评审、</w:t>
            </w:r>
            <w:r>
              <w:rPr>
                <w:rFonts w:hint="eastAsia" w:ascii="Times New Roman" w:hAnsi="Times New Roman" w:cs="Times New Roman"/>
                <w:szCs w:val="21"/>
                <w:highlight w:val="none"/>
                <w:lang w:val="en-US" w:eastAsia="zh-CN"/>
              </w:rPr>
              <w:t>勘察过程</w:t>
            </w:r>
            <w:r>
              <w:rPr>
                <w:rFonts w:hint="eastAsia" w:ascii="Times New Roman" w:hAnsi="Times New Roman" w:cs="Times New Roman"/>
                <w:szCs w:val="21"/>
                <w:highlight w:val="none"/>
                <w:lang w:eastAsia="zh-CN"/>
              </w:rPr>
              <w:t>、方案实施、交付过程</w:t>
            </w:r>
            <w:r>
              <w:rPr>
                <w:rFonts w:hint="eastAsia" w:ascii="宋体" w:hAnsi="宋体" w:cs="Times New Roman"/>
                <w:color w:val="000000" w:themeColor="text1"/>
              </w:rPr>
              <w:t>，针对</w:t>
            </w:r>
            <w:r>
              <w:rPr>
                <w:rFonts w:hint="eastAsia" w:ascii="宋体" w:hAnsi="宋体"/>
                <w:color w:val="000000" w:themeColor="text1"/>
              </w:rPr>
              <w:t>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2"/>
              <w:numPr>
                <w:ilvl w:val="0"/>
                <w:numId w:val="2"/>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获取法律法规项，■法律法规获取充分，□法律法规获取有遗漏，缺少</w:t>
            </w: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rFonts w:ascii="Times New Roman" w:hAnsi="Times New Roman" w:eastAsia="宋体" w:cs="Times New Roman"/>
                <w:b/>
                <w:color w:val="000000" w:themeColor="text1"/>
                <w:kern w:val="2"/>
                <w:sz w:val="14"/>
                <w:szCs w:val="1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300" w:lineRule="exact"/>
              <w:ind w:firstLine="420" w:firstLineChars="200"/>
              <w:rPr>
                <w:rFonts w:hint="default" w:ascii="宋体" w:hAnsi="宋体" w:eastAsia="宋体" w:cs="宋体"/>
                <w:color w:val="000000"/>
                <w:kern w:val="0"/>
                <w:szCs w:val="21"/>
                <w:highlight w:val="none"/>
                <w:lang w:val="en-US" w:eastAsia="zh-CN"/>
              </w:rPr>
            </w:pPr>
            <w:r>
              <w:rPr>
                <w:rFonts w:hint="eastAsia" w:ascii="宋体" w:hAnsi="宋体" w:cs="宋体"/>
                <w:color w:val="000000"/>
                <w:kern w:val="0"/>
                <w:szCs w:val="21"/>
                <w:highlight w:val="none"/>
              </w:rPr>
              <w:t>管理目标、指标的实现情况：</w:t>
            </w:r>
            <w:r>
              <w:rPr>
                <w:rFonts w:hint="eastAsia" w:ascii="宋体" w:hAnsi="宋体" w:cs="宋体"/>
                <w:color w:val="000000"/>
                <w:kern w:val="0"/>
                <w:szCs w:val="21"/>
                <w:highlight w:val="none"/>
                <w:lang w:val="en-US" w:eastAsia="zh-CN"/>
              </w:rPr>
              <w:t xml:space="preserve">       </w:t>
            </w:r>
            <w:r>
              <w:rPr>
                <w:rFonts w:hint="eastAsia" w:ascii="宋体" w:hAnsi="宋体" w:cs="宋体"/>
                <w:color w:val="000000"/>
                <w:kern w:val="0"/>
                <w:szCs w:val="21"/>
                <w:highlight w:val="none"/>
                <w:lang w:eastAsia="zh-CN"/>
              </w:rPr>
              <w:t>（考核时间：</w:t>
            </w:r>
            <w:r>
              <w:rPr>
                <w:rFonts w:hint="eastAsia" w:ascii="宋体" w:hAnsi="宋体" w:cs="宋体"/>
                <w:color w:val="000000"/>
                <w:kern w:val="0"/>
                <w:szCs w:val="21"/>
                <w:highlight w:val="none"/>
                <w:lang w:val="en-US" w:eastAsia="zh-CN"/>
              </w:rPr>
              <w:t>2020年1月-2020年8月）</w:t>
            </w:r>
          </w:p>
          <w:p>
            <w:pPr>
              <w:numPr>
                <w:ilvl w:val="0"/>
                <w:numId w:val="0"/>
              </w:numPr>
              <w:ind w:left="0" w:leftChars="0" w:firstLine="0" w:firstLineChars="0"/>
              <w:rPr>
                <w:rFonts w:hint="default" w:ascii="宋体" w:hAnsi="宋体" w:eastAsia="宋体" w:cs="Times New Roman"/>
                <w:b w:val="0"/>
                <w:bCs/>
                <w:color w:val="000000" w:themeColor="text1"/>
                <w:kern w:val="2"/>
                <w:sz w:val="21"/>
                <w:szCs w:val="24"/>
                <w:highlight w:val="none"/>
                <w:lang w:val="en-US" w:eastAsia="zh-CN" w:bidi="ar-SA"/>
              </w:rPr>
            </w:pPr>
            <w:r>
              <w:rPr>
                <w:rFonts w:hint="eastAsia" w:ascii="宋体" w:hAnsi="宋体" w:eastAsia="宋体" w:cs="Times New Roman"/>
                <w:b w:val="0"/>
                <w:bCs/>
                <w:color w:val="000000" w:themeColor="text1"/>
                <w:kern w:val="2"/>
                <w:sz w:val="21"/>
                <w:szCs w:val="24"/>
                <w:lang w:val="en-US" w:eastAsia="zh-CN" w:bidi="ar-SA"/>
              </w:rPr>
              <w:t>1</w:t>
            </w:r>
            <w:r>
              <w:rPr>
                <w:rFonts w:hint="eastAsia" w:ascii="宋体" w:hAnsi="宋体" w:cs="Times New Roman"/>
                <w:b w:val="0"/>
                <w:bCs/>
                <w:color w:val="000000" w:themeColor="text1"/>
                <w:kern w:val="2"/>
                <w:sz w:val="21"/>
                <w:szCs w:val="24"/>
                <w:lang w:val="en-US" w:eastAsia="zh-CN" w:bidi="ar-SA"/>
              </w:rPr>
              <w:t>.</w:t>
            </w:r>
            <w:r>
              <w:rPr>
                <w:rFonts w:hint="eastAsia" w:ascii="宋体" w:hAnsi="宋体" w:eastAsia="宋体" w:cs="Times New Roman"/>
                <w:b w:val="0"/>
                <w:bCs/>
                <w:color w:val="000000" w:themeColor="text1"/>
                <w:kern w:val="2"/>
                <w:sz w:val="21"/>
                <w:szCs w:val="24"/>
                <w:lang w:val="en-US" w:eastAsia="zh-CN" w:bidi="ar-SA"/>
              </w:rPr>
              <w:t>评估业务按时完成率≥98%；</w:t>
            </w:r>
            <w:r>
              <w:rPr>
                <w:rFonts w:hint="eastAsia" w:ascii="宋体" w:hAnsi="宋体" w:cs="Times New Roman"/>
                <w:b w:val="0"/>
                <w:bCs/>
                <w:color w:val="000000" w:themeColor="text1"/>
                <w:kern w:val="2"/>
                <w:sz w:val="21"/>
                <w:szCs w:val="24"/>
                <w:lang w:val="en-US" w:eastAsia="zh-CN" w:bidi="ar-SA"/>
              </w:rPr>
              <w:t xml:space="preserve">                   </w:t>
            </w:r>
            <w:r>
              <w:rPr>
                <w:rFonts w:hint="eastAsia" w:ascii="宋体" w:hAnsi="宋体" w:cs="Times New Roman"/>
                <w:b w:val="0"/>
                <w:bCs/>
                <w:color w:val="000000" w:themeColor="text1"/>
                <w:kern w:val="2"/>
                <w:sz w:val="21"/>
                <w:szCs w:val="24"/>
                <w:highlight w:val="none"/>
                <w:lang w:val="en-US" w:eastAsia="zh-CN" w:bidi="ar-SA"/>
              </w:rPr>
              <w:t xml:space="preserve">   100%  </w:t>
            </w:r>
          </w:p>
          <w:p>
            <w:pPr>
              <w:numPr>
                <w:ilvl w:val="0"/>
                <w:numId w:val="0"/>
              </w:numPr>
              <w:ind w:left="0" w:leftChars="0" w:firstLine="0" w:firstLineChars="0"/>
              <w:rPr>
                <w:rFonts w:hint="eastAsia" w:ascii="宋体" w:hAnsi="宋体" w:eastAsia="宋体" w:cs="Times New Roman"/>
                <w:b w:val="0"/>
                <w:bCs/>
                <w:color w:val="000000" w:themeColor="text1"/>
                <w:kern w:val="2"/>
                <w:sz w:val="21"/>
                <w:szCs w:val="24"/>
                <w:highlight w:val="none"/>
                <w:lang w:val="en-US" w:eastAsia="zh-CN" w:bidi="ar-SA"/>
              </w:rPr>
            </w:pPr>
            <w:r>
              <w:rPr>
                <w:rFonts w:hint="eastAsia" w:ascii="宋体" w:hAnsi="宋体" w:eastAsia="宋体" w:cs="Times New Roman"/>
                <w:b w:val="0"/>
                <w:bCs/>
                <w:color w:val="000000" w:themeColor="text1"/>
                <w:kern w:val="2"/>
                <w:sz w:val="21"/>
                <w:szCs w:val="24"/>
                <w:highlight w:val="none"/>
                <w:lang w:val="en-US" w:eastAsia="zh-CN" w:bidi="ar-SA"/>
              </w:rPr>
              <w:t>2</w:t>
            </w:r>
            <w:r>
              <w:rPr>
                <w:rFonts w:hint="eastAsia" w:ascii="宋体" w:hAnsi="宋体" w:cs="Times New Roman"/>
                <w:b w:val="0"/>
                <w:bCs/>
                <w:color w:val="000000" w:themeColor="text1"/>
                <w:kern w:val="2"/>
                <w:sz w:val="21"/>
                <w:szCs w:val="24"/>
                <w:highlight w:val="none"/>
                <w:lang w:val="en-US" w:eastAsia="zh-CN" w:bidi="ar-SA"/>
              </w:rPr>
              <w:t>.</w:t>
            </w:r>
            <w:r>
              <w:rPr>
                <w:rFonts w:hint="eastAsia" w:ascii="宋体" w:hAnsi="宋体" w:eastAsia="宋体" w:cs="Times New Roman"/>
                <w:b w:val="0"/>
                <w:bCs/>
                <w:color w:val="000000" w:themeColor="text1"/>
                <w:kern w:val="2"/>
                <w:sz w:val="21"/>
                <w:szCs w:val="24"/>
                <w:highlight w:val="none"/>
                <w:lang w:val="en-US" w:eastAsia="zh-CN" w:bidi="ar-SA"/>
              </w:rPr>
              <w:t>顾客满意度≥90%，并逐年上升。</w:t>
            </w:r>
            <w:r>
              <w:rPr>
                <w:rFonts w:hint="eastAsia" w:ascii="宋体" w:hAnsi="宋体" w:cs="Times New Roman"/>
                <w:b w:val="0"/>
                <w:bCs/>
                <w:color w:val="000000" w:themeColor="text1"/>
                <w:kern w:val="2"/>
                <w:sz w:val="21"/>
                <w:szCs w:val="24"/>
                <w:highlight w:val="none"/>
                <w:lang w:val="en-US" w:eastAsia="zh-CN" w:bidi="ar-SA"/>
              </w:rPr>
              <w:t xml:space="preserve">                   98% </w:t>
            </w:r>
          </w:p>
          <w:p>
            <w:pPr>
              <w:numPr>
                <w:ilvl w:val="0"/>
                <w:numId w:val="0"/>
              </w:numPr>
              <w:ind w:left="0" w:leftChars="0" w:firstLine="0" w:firstLineChars="0"/>
              <w:rPr>
                <w:rFonts w:hint="default" w:ascii="宋体" w:hAnsi="宋体" w:eastAsia="宋体" w:cs="Times New Roman"/>
                <w:b w:val="0"/>
                <w:bCs/>
                <w:color w:val="000000" w:themeColor="text1"/>
                <w:kern w:val="2"/>
                <w:sz w:val="21"/>
                <w:szCs w:val="24"/>
                <w:highlight w:val="none"/>
                <w:lang w:val="en-US" w:eastAsia="zh-CN" w:bidi="ar-SA"/>
              </w:rPr>
            </w:pPr>
            <w:r>
              <w:rPr>
                <w:rFonts w:hint="eastAsia" w:ascii="宋体" w:hAnsi="宋体" w:cs="Times New Roman"/>
                <w:b w:val="0"/>
                <w:bCs/>
                <w:color w:val="000000" w:themeColor="text1"/>
                <w:kern w:val="2"/>
                <w:sz w:val="21"/>
                <w:szCs w:val="24"/>
                <w:highlight w:val="none"/>
                <w:lang w:val="en-US" w:eastAsia="zh-CN" w:bidi="ar-SA"/>
              </w:rPr>
              <w:t>3.</w:t>
            </w:r>
            <w:r>
              <w:rPr>
                <w:rFonts w:hint="eastAsia" w:ascii="宋体" w:hAnsi="宋体" w:eastAsia="宋体" w:cs="Times New Roman"/>
                <w:b w:val="0"/>
                <w:bCs/>
                <w:color w:val="000000" w:themeColor="text1"/>
                <w:kern w:val="2"/>
                <w:sz w:val="21"/>
                <w:szCs w:val="24"/>
                <w:highlight w:val="none"/>
                <w:lang w:val="en-US" w:eastAsia="zh-CN" w:bidi="ar-SA"/>
              </w:rPr>
              <w:t>固废回收处理率100%；</w:t>
            </w:r>
            <w:r>
              <w:rPr>
                <w:rFonts w:hint="eastAsia" w:ascii="宋体" w:hAnsi="宋体" w:cs="Times New Roman"/>
                <w:b w:val="0"/>
                <w:bCs/>
                <w:color w:val="000000" w:themeColor="text1"/>
                <w:kern w:val="2"/>
                <w:sz w:val="21"/>
                <w:szCs w:val="24"/>
                <w:highlight w:val="none"/>
                <w:lang w:val="en-US" w:eastAsia="zh-CN" w:bidi="ar-SA"/>
              </w:rPr>
              <w:t xml:space="preserve">                           100%</w:t>
            </w:r>
          </w:p>
          <w:p>
            <w:pPr>
              <w:numPr>
                <w:ilvl w:val="0"/>
                <w:numId w:val="0"/>
              </w:numPr>
              <w:ind w:left="0" w:leftChars="0" w:firstLine="0" w:firstLineChars="0"/>
              <w:rPr>
                <w:rFonts w:hint="eastAsia" w:ascii="宋体" w:hAnsi="宋体" w:eastAsia="宋体" w:cs="Times New Roman"/>
                <w:b w:val="0"/>
                <w:bCs/>
                <w:color w:val="000000" w:themeColor="text1"/>
                <w:kern w:val="2"/>
                <w:sz w:val="21"/>
                <w:szCs w:val="24"/>
                <w:highlight w:val="none"/>
                <w:lang w:val="en-US" w:eastAsia="zh-CN" w:bidi="ar-SA"/>
              </w:rPr>
            </w:pPr>
            <w:r>
              <w:rPr>
                <w:rFonts w:hint="eastAsia" w:ascii="宋体" w:hAnsi="宋体" w:cs="Times New Roman"/>
                <w:b w:val="0"/>
                <w:bCs/>
                <w:color w:val="000000" w:themeColor="text1"/>
                <w:kern w:val="2"/>
                <w:sz w:val="21"/>
                <w:szCs w:val="24"/>
                <w:highlight w:val="none"/>
                <w:lang w:val="en-US" w:eastAsia="zh-CN" w:bidi="ar-SA"/>
              </w:rPr>
              <w:t>4.</w:t>
            </w:r>
            <w:r>
              <w:rPr>
                <w:rFonts w:hint="eastAsia" w:ascii="宋体" w:hAnsi="宋体" w:eastAsia="宋体" w:cs="Times New Roman"/>
                <w:b w:val="0"/>
                <w:bCs/>
                <w:color w:val="000000" w:themeColor="text1"/>
                <w:kern w:val="2"/>
                <w:sz w:val="21"/>
                <w:szCs w:val="24"/>
                <w:highlight w:val="none"/>
                <w:lang w:val="en-US" w:eastAsia="zh-CN" w:bidi="ar-SA"/>
              </w:rPr>
              <w:t>火灾事故发生为0；</w:t>
            </w:r>
            <w:r>
              <w:rPr>
                <w:rFonts w:hint="eastAsia" w:ascii="宋体" w:hAnsi="宋体" w:cs="Times New Roman"/>
                <w:b w:val="0"/>
                <w:bCs/>
                <w:color w:val="000000" w:themeColor="text1"/>
                <w:kern w:val="2"/>
                <w:sz w:val="21"/>
                <w:szCs w:val="24"/>
                <w:highlight w:val="none"/>
                <w:lang w:val="en-US" w:eastAsia="zh-CN" w:bidi="ar-SA"/>
              </w:rPr>
              <w:t xml:space="preserve">                                0  </w:t>
            </w:r>
          </w:p>
          <w:p>
            <w:pPr>
              <w:numPr>
                <w:ilvl w:val="0"/>
                <w:numId w:val="0"/>
              </w:numPr>
              <w:ind w:left="0" w:leftChars="0" w:firstLine="0" w:firstLineChars="0"/>
              <w:rPr>
                <w:rFonts w:ascii="宋体" w:hAnsi="宋体" w:eastAsia="宋体" w:cs="Times New Roman"/>
                <w:b/>
                <w:color w:val="000000" w:themeColor="text1"/>
                <w:kern w:val="2"/>
                <w:sz w:val="21"/>
                <w:szCs w:val="24"/>
                <w:lang w:val="en-US" w:eastAsia="zh-CN" w:bidi="ar-SA"/>
              </w:rPr>
            </w:pPr>
            <w:r>
              <w:rPr>
                <w:rFonts w:hint="eastAsia" w:ascii="宋体" w:hAnsi="宋体" w:cs="Times New Roman"/>
                <w:b w:val="0"/>
                <w:bCs/>
                <w:color w:val="000000" w:themeColor="text1"/>
                <w:kern w:val="2"/>
                <w:sz w:val="21"/>
                <w:szCs w:val="24"/>
                <w:highlight w:val="none"/>
                <w:lang w:val="en-US" w:eastAsia="zh-CN" w:bidi="ar-SA"/>
              </w:rPr>
              <w:t>5.</w:t>
            </w:r>
            <w:r>
              <w:rPr>
                <w:rFonts w:hint="eastAsia" w:ascii="宋体" w:hAnsi="宋体" w:eastAsia="宋体" w:cs="Times New Roman"/>
                <w:b w:val="0"/>
                <w:bCs/>
                <w:color w:val="000000" w:themeColor="text1"/>
                <w:kern w:val="2"/>
                <w:sz w:val="21"/>
                <w:szCs w:val="24"/>
                <w:highlight w:val="none"/>
                <w:lang w:val="en-US" w:eastAsia="zh-CN" w:bidi="ar-SA"/>
              </w:rPr>
              <w:t>意外伤害率0。</w:t>
            </w:r>
            <w:r>
              <w:rPr>
                <w:rFonts w:hint="eastAsia" w:ascii="宋体" w:hAnsi="宋体" w:cs="Times New Roman"/>
                <w:b w:val="0"/>
                <w:bCs/>
                <w:color w:val="000000" w:themeColor="text1"/>
                <w:kern w:val="2"/>
                <w:sz w:val="21"/>
                <w:szCs w:val="24"/>
                <w:highlight w:val="none"/>
                <w:lang w:val="en-US" w:eastAsia="zh-CN" w:bidi="ar-SA"/>
              </w:rPr>
              <w:t xml:space="preserve">                                    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ascii="宋体" w:hAnsi="宋体" w:eastAsia="宋体" w:cs="Times New Roman"/>
                <w:b/>
                <w:color w:val="000000" w:themeColor="text1"/>
                <w:kern w:val="2"/>
                <w:sz w:val="20"/>
                <w:szCs w:val="20"/>
                <w:lang w:val="en-US" w:eastAsia="zh-CN" w:bidi="ar-SA"/>
              </w:rPr>
            </w:pPr>
            <w:r>
              <w:rPr>
                <w:rFonts w:hint="eastAsia" w:ascii="宋体" w:hAnsi="宋体" w:cs="宋体"/>
                <w:color w:val="000000" w:themeColor="text1"/>
              </w:rPr>
              <w:t>公司按照申请认证的标准要求，建立并形成了文件化的</w:t>
            </w:r>
            <w:r>
              <w:rPr>
                <w:rFonts w:hint="eastAsia" w:ascii="宋体" w:hAnsi="宋体" w:cs="宋体"/>
                <w:color w:val="000000" w:themeColor="text1"/>
                <w:lang w:eastAsia="zh-CN"/>
              </w:rPr>
              <w:t>质量、</w:t>
            </w:r>
            <w:r>
              <w:rPr>
                <w:rFonts w:hint="eastAsia" w:ascii="宋体" w:hAnsi="宋体"/>
                <w:color w:val="000000" w:themeColor="text1"/>
              </w:rPr>
              <w:t>环境和职业健康安全</w:t>
            </w:r>
            <w:r>
              <w:rPr>
                <w:rFonts w:hint="eastAsia" w:ascii="宋体" w:hAnsi="宋体" w:cs="宋体"/>
                <w:color w:val="000000" w:themeColor="text1"/>
              </w:rPr>
              <w:t>管理体系，体系文件对管理体系各过程进行了识别确定、明确了各要素间的相互关系及其管控要求。公司体系文件于</w:t>
            </w:r>
            <w:r>
              <w:rPr>
                <w:rFonts w:hint="eastAsia" w:ascii="宋体" w:hAnsi="宋体" w:cs="Arial"/>
                <w:color w:val="000000" w:themeColor="text1"/>
              </w:rPr>
              <w:t xml:space="preserve">2019 </w:t>
            </w:r>
            <w:r>
              <w:rPr>
                <w:rFonts w:hint="eastAsia" w:ascii="宋体" w:hAnsi="宋体" w:cs="宋体"/>
                <w:color w:val="000000" w:themeColor="text1"/>
              </w:rPr>
              <w:t>年</w:t>
            </w:r>
            <w:r>
              <w:rPr>
                <w:rFonts w:hint="eastAsia" w:ascii="宋体" w:hAnsi="宋体" w:cs="宋体"/>
                <w:color w:val="000000" w:themeColor="text1"/>
                <w:lang w:val="en-US" w:eastAsia="zh-CN"/>
              </w:rPr>
              <w:t>8</w:t>
            </w:r>
            <w:r>
              <w:rPr>
                <w:rFonts w:hint="eastAsia" w:ascii="宋体" w:hAnsi="宋体" w:cs="宋体"/>
                <w:color w:val="000000" w:themeColor="text1"/>
              </w:rPr>
              <w:t>月</w:t>
            </w:r>
            <w:r>
              <w:rPr>
                <w:rFonts w:hint="eastAsia" w:ascii="宋体" w:hAnsi="宋体" w:cs="宋体"/>
                <w:color w:val="000000" w:themeColor="text1"/>
                <w:lang w:val="en-US" w:eastAsia="zh-CN"/>
              </w:rPr>
              <w:t>1</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vAlign w:val="top"/>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lang w:eastAsia="zh-CN"/>
              </w:rPr>
              <w:t>资产评估、房地产估价（一级）、土地评估的</w:t>
            </w:r>
            <w:r>
              <w:rPr>
                <w:rFonts w:hint="eastAsia" w:ascii="宋体" w:hAnsi="宋体"/>
                <w:bCs/>
                <w:iCs/>
                <w:szCs w:val="22"/>
              </w:rPr>
              <w:t>运行环境，可以维持管理体系的正常运行。</w:t>
            </w:r>
          </w:p>
          <w:p>
            <w:pPr>
              <w:spacing w:line="300" w:lineRule="exact"/>
              <w:rPr>
                <w:rFonts w:ascii="宋体" w:hAnsi="宋体" w:eastAsia="宋体" w:cs="Times New Roman"/>
                <w:b/>
                <w:color w:val="000000" w:themeColor="text1"/>
                <w:kern w:val="2"/>
                <w:sz w:val="20"/>
                <w:szCs w:val="20"/>
                <w:lang w:val="en-US" w:eastAsia="zh-CN" w:bidi="ar-SA"/>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400" w:lineRule="exact"/>
              <w:rPr>
                <w:rFonts w:ascii="宋体" w:hAnsi="宋体" w:eastAsia="宋体" w:cs="Times New Roman"/>
                <w:b/>
                <w:color w:val="000000" w:themeColor="text1"/>
                <w:kern w:val="2"/>
                <w:sz w:val="20"/>
                <w:szCs w:val="20"/>
                <w:lang w:val="en-US" w:eastAsia="zh-CN" w:bidi="ar-SA"/>
              </w:rPr>
            </w:pPr>
            <w:r>
              <w:rPr>
                <w:rFonts w:hint="eastAsia" w:ascii="宋体" w:hAnsi="宋体"/>
                <w:szCs w:val="21"/>
                <w:highlight w:val="none"/>
                <w:lang w:val="en-US" w:eastAsia="zh-CN"/>
              </w:rPr>
              <w:t>公司拥有</w:t>
            </w:r>
            <w:r>
              <w:rPr>
                <w:rFonts w:hint="eastAsia" w:ascii="宋体" w:hAnsi="宋体" w:cs="Times New Roman"/>
                <w:kern w:val="2"/>
                <w:sz w:val="21"/>
                <w:szCs w:val="21"/>
                <w:highlight w:val="none"/>
                <w:lang w:val="en-US" w:eastAsia="zh-CN" w:bidi="ar-SA"/>
              </w:rPr>
              <w:t>办公</w:t>
            </w:r>
            <w:r>
              <w:rPr>
                <w:rFonts w:hint="eastAsia" w:ascii="宋体" w:hAnsi="宋体" w:eastAsia="宋体" w:cs="Times New Roman"/>
                <w:kern w:val="2"/>
                <w:sz w:val="21"/>
                <w:szCs w:val="21"/>
                <w:highlight w:val="none"/>
                <w:lang w:val="en-US" w:eastAsia="zh-CN" w:bidi="ar-SA"/>
              </w:rPr>
              <w:t>面积</w:t>
            </w:r>
            <w:r>
              <w:rPr>
                <w:rFonts w:hint="eastAsia" w:ascii="宋体" w:hAnsi="宋体" w:cs="Times New Roman"/>
                <w:kern w:val="2"/>
                <w:sz w:val="21"/>
                <w:szCs w:val="21"/>
                <w:highlight w:val="none"/>
                <w:lang w:val="en-US" w:eastAsia="zh-CN" w:bidi="ar-SA"/>
              </w:rPr>
              <w:t>800</w:t>
            </w:r>
            <w:r>
              <w:rPr>
                <w:rFonts w:hint="eastAsia" w:ascii="宋体" w:hAnsi="宋体"/>
                <w:szCs w:val="21"/>
                <w:highlight w:val="none"/>
                <w:lang w:val="en-US" w:eastAsia="zh-CN"/>
              </w:rPr>
              <w:t>平方米</w:t>
            </w:r>
            <w:r>
              <w:rPr>
                <w:rFonts w:hint="eastAsia" w:ascii="宋体" w:hAnsi="宋体" w:cs="宋体"/>
                <w:szCs w:val="21"/>
                <w:highlight w:val="none"/>
              </w:rPr>
              <w:t>，主要</w:t>
            </w:r>
            <w:r>
              <w:rPr>
                <w:rFonts w:hint="eastAsia" w:ascii="宋体" w:hAnsi="宋体" w:cs="宋体"/>
                <w:szCs w:val="21"/>
                <w:highlight w:val="none"/>
                <w:lang w:eastAsia="zh-CN"/>
              </w:rPr>
              <w:t>设备为</w:t>
            </w:r>
            <w:r>
              <w:rPr>
                <w:rFonts w:hint="eastAsia" w:ascii="宋体" w:hAnsi="宋体" w:cs="宋体"/>
                <w:szCs w:val="21"/>
                <w:highlight w:val="none"/>
              </w:rPr>
              <w:t>电脑</w:t>
            </w:r>
            <w:r>
              <w:rPr>
                <w:rFonts w:hint="eastAsia" w:ascii="宋体" w:hAnsi="宋体" w:cs="宋体"/>
                <w:szCs w:val="21"/>
                <w:highlight w:val="none"/>
                <w:lang w:eastAsia="zh-CN"/>
              </w:rPr>
              <w:t>、</w:t>
            </w:r>
            <w:r>
              <w:rPr>
                <w:rFonts w:hint="eastAsia" w:ascii="宋体" w:hAnsi="宋体" w:cs="宋体"/>
                <w:szCs w:val="21"/>
                <w:highlight w:val="none"/>
                <w:lang w:val="en-US" w:eastAsia="zh-CN"/>
              </w:rPr>
              <w:t>服务器、相机、投影仪、测距仪</w:t>
            </w:r>
            <w:r>
              <w:rPr>
                <w:rFonts w:hint="eastAsia" w:ascii="宋体" w:hAnsi="宋体" w:cs="宋体"/>
                <w:szCs w:val="21"/>
                <w:highlight w:val="none"/>
                <w:lang w:eastAsia="zh-CN"/>
              </w:rPr>
              <w:t>及</w:t>
            </w:r>
            <w:r>
              <w:rPr>
                <w:rFonts w:hint="eastAsia" w:ascii="宋体" w:hAnsi="宋体" w:cs="宋体"/>
                <w:szCs w:val="21"/>
                <w:highlight w:val="none"/>
              </w:rPr>
              <w:t>办公设备等，可以满足</w:t>
            </w:r>
            <w:r>
              <w:rPr>
                <w:rFonts w:hint="eastAsia" w:ascii="宋体" w:hAnsi="宋体"/>
                <w:szCs w:val="21"/>
                <w:highlight w:val="none"/>
                <w:lang w:eastAsia="zh-CN"/>
              </w:rPr>
              <w:t>资产评估、房地产估价（一级）、土地评估</w:t>
            </w:r>
            <w:r>
              <w:rPr>
                <w:rFonts w:hint="eastAsia" w:ascii="宋体" w:hAnsi="宋体"/>
                <w:szCs w:val="21"/>
                <w:highlight w:val="none"/>
              </w:rPr>
              <w:t>的</w:t>
            </w:r>
            <w:r>
              <w:rPr>
                <w:rFonts w:hint="eastAsia" w:ascii="宋体" w:hAnsi="宋体" w:cs="宋体"/>
                <w:szCs w:val="21"/>
                <w:highlight w:val="none"/>
              </w:rPr>
              <w:t>需要。特种设备：无。公司未建立信息管理系统用于生产和服务。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rPr>
                <w:rFonts w:ascii="宋体" w:hAnsi="宋体" w:eastAsia="宋体" w:cs="Times New Roman"/>
                <w:b/>
                <w:color w:val="000000" w:themeColor="text1"/>
                <w:kern w:val="2"/>
                <w:sz w:val="20"/>
                <w:szCs w:val="20"/>
                <w:lang w:val="en-US" w:eastAsia="zh-CN" w:bidi="ar-SA"/>
              </w:rPr>
            </w:pPr>
            <w:r>
              <w:rPr>
                <w:rFonts w:hint="eastAsia" w:ascii="宋体" w:hAnsi="宋体" w:cs="宋体"/>
                <w:szCs w:val="21"/>
              </w:rPr>
              <w:t>办公所场设备布置合理，通道畅通，照明设施齐全，均配备了消防设施等设施。办公室明亮，</w:t>
            </w:r>
            <w:r>
              <w:rPr>
                <w:rFonts w:hint="eastAsia" w:ascii="宋体" w:hAnsi="宋体" w:cs="宋体"/>
                <w:szCs w:val="21"/>
                <w:lang w:eastAsia="zh-CN"/>
              </w:rPr>
              <w:t>服务</w:t>
            </w:r>
            <w:r>
              <w:rPr>
                <w:rFonts w:hint="eastAsia" w:ascii="宋体" w:hAnsi="宋体" w:cs="宋体"/>
                <w:szCs w:val="21"/>
              </w:rPr>
              <w:t>场所光线较充足。每月由</w:t>
            </w:r>
            <w:r>
              <w:rPr>
                <w:rFonts w:hint="eastAsia" w:ascii="宋体" w:hAnsi="宋体" w:cs="宋体"/>
                <w:szCs w:val="21"/>
                <w:lang w:eastAsia="zh-CN"/>
              </w:rPr>
              <w:t>行政与人力资源部</w:t>
            </w:r>
            <w:r>
              <w:rPr>
                <w:rFonts w:hint="eastAsia" w:ascii="宋体" w:hAnsi="宋体" w:cs="宋体"/>
                <w:szCs w:val="21"/>
              </w:rPr>
              <w:t>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pPr>
            <w:r>
              <w:rPr>
                <w:rFonts w:hint="eastAsia"/>
              </w:rPr>
              <w:t>监视和测量资源</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kern w:val="2"/>
                <w:sz w:val="21"/>
                <w:szCs w:val="24"/>
                <w:lang w:val="en-US" w:eastAsia="zh-CN" w:bidi="ar-SA"/>
              </w:rPr>
            </w:pPr>
            <w:r>
              <w:rPr>
                <w:rFonts w:hint="eastAsia"/>
                <w:color w:val="auto"/>
                <w:szCs w:val="21"/>
                <w:highlight w:val="none"/>
                <w:lang w:val="en-US" w:eastAsia="zh-CN"/>
              </w:rPr>
              <w:t>皮尺、测距仪。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b/>
                <w:color w:val="000000" w:themeColor="text1"/>
                <w:sz w:val="20"/>
                <w:szCs w:val="20"/>
              </w:rPr>
            </w:pPr>
            <w:r>
              <w:rPr>
                <w:rFonts w:hint="eastAsia" w:ascii="宋体" w:hAnsi="宋体"/>
                <w:b/>
                <w:color w:val="000000" w:themeColor="text1"/>
                <w:sz w:val="20"/>
                <w:szCs w:val="20"/>
              </w:rPr>
              <w:t>知识</w:t>
            </w:r>
          </w:p>
          <w:p>
            <w:pPr>
              <w:keepNext w:val="0"/>
              <w:keepLines w:val="0"/>
              <w:pageBreakBefore w:val="0"/>
              <w:widowControl w:val="0"/>
              <w:kinsoku/>
              <w:wordWrap/>
              <w:overflowPunct/>
              <w:topLinePunct w:val="0"/>
              <w:autoSpaceDE/>
              <w:autoSpaceDN/>
              <w:bidi w:val="0"/>
              <w:adjustRightInd/>
              <w:snapToGrid/>
              <w:spacing w:line="240" w:lineRule="auto"/>
              <w:ind w:firstLine="315" w:firstLineChars="150"/>
              <w:textAlignment w:val="auto"/>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cs="Times New Roman"/>
                <w:b/>
                <w:color w:val="000000" w:themeColor="text1"/>
                <w:kern w:val="2"/>
                <w:sz w:val="20"/>
                <w:szCs w:val="20"/>
                <w:lang w:val="en-US" w:eastAsia="zh-CN" w:bidi="ar-SA"/>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sz w:val="20"/>
                <w:szCs w:val="20"/>
              </w:rPr>
            </w:pPr>
            <w:r>
              <w:rPr>
                <w:rFonts w:hint="eastAsia" w:ascii="宋体" w:hAnsi="宋体"/>
                <w:b/>
                <w:sz w:val="20"/>
                <w:szCs w:val="20"/>
              </w:rPr>
              <w:t>环保设施：</w:t>
            </w:r>
          </w:p>
          <w:p>
            <w:pPr>
              <w:spacing w:line="240" w:lineRule="exact"/>
              <w:rPr>
                <w:rFonts w:hint="eastAsia" w:ascii="宋体" w:hAnsi="宋体" w:eastAsia="宋体" w:cs="Times New Roman"/>
                <w:kern w:val="2"/>
                <w:sz w:val="20"/>
                <w:szCs w:val="20"/>
                <w:lang w:val="en-US" w:eastAsia="zh-CN" w:bidi="ar-SA"/>
              </w:rPr>
            </w:pPr>
            <w:r>
              <w:rPr>
                <w:rFonts w:hint="eastAsia" w:ascii="宋体" w:hAnsi="宋体" w:cs="宋体"/>
                <w:color w:val="000000"/>
                <w:szCs w:val="21"/>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sz w:val="20"/>
                <w:szCs w:val="20"/>
              </w:rPr>
            </w:pPr>
            <w:r>
              <w:rPr>
                <w:rFonts w:hint="eastAsia" w:ascii="宋体" w:hAnsi="宋体"/>
                <w:b/>
                <w:sz w:val="20"/>
                <w:szCs w:val="20"/>
              </w:rPr>
              <w:t>职业健康安全设施：</w:t>
            </w:r>
          </w:p>
          <w:p>
            <w:pPr>
              <w:spacing w:line="240" w:lineRule="exact"/>
              <w:rPr>
                <w:rFonts w:hint="eastAsia" w:ascii="宋体" w:hAnsi="宋体" w:eastAsia="宋体" w:cs="Times New Roman"/>
                <w:kern w:val="2"/>
                <w:sz w:val="20"/>
                <w:szCs w:val="20"/>
                <w:lang w:val="en-US" w:eastAsia="zh-CN" w:bidi="ar-SA"/>
              </w:rPr>
            </w:pPr>
            <w:r>
              <w:rPr>
                <w:rFonts w:hint="eastAsia" w:ascii="宋体" w:hAnsi="宋体" w:cs="宋体"/>
                <w:color w:val="000000"/>
                <w:szCs w:val="21"/>
                <w:lang w:eastAsia="zh-CN"/>
              </w:rPr>
              <w:t>配电箱</w:t>
            </w:r>
            <w:r>
              <w:rPr>
                <w:rFonts w:hint="eastAsia" w:ascii="宋体" w:hAnsi="宋体" w:cs="宋体"/>
                <w:color w:val="000000"/>
                <w:szCs w:val="21"/>
              </w:rPr>
              <w:t>、灭火器</w:t>
            </w:r>
            <w:r>
              <w:rPr>
                <w:rFonts w:hint="eastAsia" w:ascii="宋体" w:hAnsi="宋体" w:cs="宋体"/>
                <w:color w:val="000000"/>
                <w:szCs w:val="21"/>
                <w:lang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vAlign w:val="top"/>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leftChars="0"/>
              <w:rPr>
                <w:rFonts w:ascii="Times New Roman" w:hAnsi="Times New Roman" w:eastAsia="宋体" w:cs="Times New Roman"/>
                <w:b/>
                <w:color w:val="000000" w:themeColor="text1"/>
                <w:kern w:val="2"/>
                <w:sz w:val="20"/>
                <w:szCs w:val="20"/>
                <w:lang w:val="en-US" w:eastAsia="zh-CN" w:bidi="ar-SA"/>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ind w:left="159" w:hanging="159" w:hangingChars="79"/>
              <w:rPr>
                <w:rFonts w:ascii="楷体_GB2312" w:eastAsia="楷体_GB2312"/>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内部沟通的效果：良好</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组织对外联络，关注顾客的感受情况（QMS）：采取顾客满意度调查方式了解顾客感受。</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外部信息的接收、成文并答复的情况（E、S填写）：对会议通知和规定等登记处理</w:t>
            </w:r>
          </w:p>
          <w:p>
            <w:pPr>
              <w:spacing w:line="240" w:lineRule="exact"/>
              <w:rPr>
                <w:rFonts w:ascii="楷体_GB2312" w:eastAsia="楷体_GB2312"/>
                <w:b/>
                <w:color w:val="000000" w:themeColor="text1"/>
                <w:sz w:val="20"/>
                <w:szCs w:val="20"/>
              </w:rPr>
            </w:pPr>
          </w:p>
          <w:p>
            <w:pPr>
              <w:spacing w:line="240" w:lineRule="exact"/>
              <w:rPr>
                <w:szCs w:val="21"/>
              </w:rPr>
            </w:pPr>
            <w:r>
              <w:rPr>
                <w:rFonts w:hint="eastAsia" w:ascii="楷体_GB2312" w:eastAsia="楷体_GB2312"/>
                <w:b/>
                <w:color w:val="000000" w:themeColor="text1"/>
                <w:sz w:val="20"/>
                <w:szCs w:val="20"/>
              </w:rPr>
              <w:t>重要环境因素信息对外交流情况（EMS填写）：</w:t>
            </w:r>
            <w:r>
              <w:rPr>
                <w:rFonts w:hint="eastAsia"/>
                <w:szCs w:val="21"/>
              </w:rPr>
              <w:t>主要通过网络、交流及公开信、合同等方式进行，并达成一致性意见实施有效控制</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r>
              <w:rPr>
                <w:rFonts w:hint="eastAsia" w:ascii="宋体" w:hAnsi="宋体" w:cs="Arial"/>
                <w:szCs w:val="21"/>
              </w:rPr>
              <w:t>与安全健康管理有关的法律法规，包括《劳动合同法》、《工伤保险条例》、《职业病防治法》等关于员工权益、保险等内容</w:t>
            </w:r>
          </w:p>
          <w:p>
            <w:pPr>
              <w:spacing w:line="240" w:lineRule="exact"/>
              <w:rPr>
                <w:rFonts w:ascii="楷体_GB2312" w:eastAsia="楷体_GB2312"/>
                <w:b/>
                <w:color w:val="000000" w:themeColor="text1"/>
                <w:szCs w:val="21"/>
              </w:rPr>
            </w:pPr>
          </w:p>
          <w:p>
            <w:pPr>
              <w:spacing w:line="240" w:lineRule="exact"/>
              <w:rPr>
                <w:rFonts w:ascii="楷体_GB2312" w:hAnsi="Times New Roman" w:eastAsia="楷体_GB2312" w:cs="Times New Roman"/>
                <w:b/>
                <w:color w:val="000000" w:themeColor="text1"/>
                <w:kern w:val="2"/>
                <w:sz w:val="21"/>
                <w:szCs w:val="21"/>
                <w:lang w:val="en-US" w:eastAsia="zh-CN" w:bidi="ar-SA"/>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5"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rPr>
                <w:rFonts w:ascii="Times New Roman" w:hAnsi="Times New Roman" w:eastAsia="宋体" w:cs="Times New Roman"/>
                <w:b/>
                <w:color w:val="000000" w:themeColor="text1"/>
                <w:kern w:val="2"/>
                <w:sz w:val="20"/>
                <w:szCs w:val="20"/>
                <w:lang w:val="en-US" w:eastAsia="zh-CN" w:bidi="ar-SA"/>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5"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rPr>
                <w:rFonts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w:t>
            </w:r>
            <w:r>
              <w:rPr>
                <w:rFonts w:hint="eastAsia" w:ascii="宋体" w:hAnsi="宋体" w:cs="宋体"/>
                <w:color w:val="000000"/>
                <w:szCs w:val="21"/>
                <w:lang w:eastAsia="zh-CN"/>
              </w:rPr>
              <w:t>交付顾客</w:t>
            </w:r>
            <w:r>
              <w:rPr>
                <w:rFonts w:hint="eastAsia" w:ascii="宋体" w:hAnsi="宋体" w:cs="宋体"/>
                <w:color w:val="000000"/>
                <w:szCs w:val="21"/>
              </w:rPr>
              <w:t>前予以实现，范围包括：过程、最终产品。以此保证持续向顾客稳定提供稳定合格的产品。</w:t>
            </w:r>
          </w:p>
          <w:p>
            <w:pPr>
              <w:spacing w:line="240" w:lineRule="exact"/>
              <w:rPr>
                <w:rFonts w:ascii="Times New Roman" w:hAnsi="Times New Roman" w:eastAsia="宋体" w:cs="Times New Roman"/>
                <w:b/>
                <w:color w:val="000000" w:themeColor="text1"/>
                <w:kern w:val="2"/>
                <w:sz w:val="20"/>
                <w:szCs w:val="20"/>
                <w:lang w:val="en-US" w:eastAsia="zh-CN" w:bidi="ar-SA"/>
              </w:rPr>
            </w:pPr>
            <w:r>
              <w:rPr>
                <w:rFonts w:hint="eastAsia"/>
                <w:b/>
                <w:color w:val="000000" w:themeColor="text1"/>
                <w:sz w:val="20"/>
                <w:szCs w:val="20"/>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300" w:lineRule="exact"/>
              <w:ind w:firstLine="197" w:firstLineChars="98"/>
              <w:rPr>
                <w:b/>
                <w:color w:val="000000" w:themeColor="text1"/>
                <w:sz w:val="20"/>
                <w:szCs w:val="20"/>
                <w:highlight w:val="none"/>
              </w:rPr>
            </w:pPr>
            <w:r>
              <w:rPr>
                <w:rFonts w:hint="eastAsia"/>
                <w:b/>
                <w:color w:val="000000" w:themeColor="text1"/>
                <w:sz w:val="20"/>
                <w:szCs w:val="20"/>
                <w:highlight w:val="none"/>
              </w:rPr>
              <w:t>无</w:t>
            </w:r>
          </w:p>
          <w:p>
            <w:pPr>
              <w:spacing w:line="300" w:lineRule="exact"/>
              <w:ind w:firstLine="197" w:firstLineChars="98"/>
              <w:rPr>
                <w:rFonts w:ascii="Times New Roman" w:hAnsi="Times New Roman" w:eastAsia="宋体" w:cs="Times New Roman"/>
                <w:b/>
                <w:color w:val="000000" w:themeColor="text1"/>
                <w:kern w:val="2"/>
                <w:sz w:val="20"/>
                <w:szCs w:val="20"/>
                <w:lang w:val="en-US" w:eastAsia="zh-CN" w:bidi="ar-SA"/>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9"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rFonts w:ascii="Times New Roman" w:hAnsi="Times New Roman" w:eastAsia="宋体" w:cs="Times New Roman"/>
                <w:b/>
                <w:color w:val="000000" w:themeColor="text1"/>
                <w:kern w:val="2"/>
                <w:sz w:val="20"/>
                <w:szCs w:val="20"/>
                <w:lang w:val="en-US" w:eastAsia="zh-CN" w:bidi="ar-SA"/>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tabs>
                <w:tab w:val="left" w:pos="2552"/>
              </w:tabs>
              <w:spacing w:line="360" w:lineRule="exact"/>
              <w:ind w:firstLine="315" w:firstLineChars="150"/>
              <w:rPr>
                <w:rFonts w:ascii="Times New Roman" w:hAnsi="Times New Roman" w:eastAsia="宋体" w:cs="Times New Roman"/>
                <w:b/>
                <w:color w:val="000000" w:themeColor="text1"/>
                <w:kern w:val="2"/>
                <w:sz w:val="20"/>
                <w:szCs w:val="20"/>
                <w:lang w:val="en-US" w:eastAsia="zh-CN" w:bidi="ar-SA"/>
              </w:rPr>
            </w:pPr>
            <w:r>
              <w:rPr>
                <w:rFonts w:hint="eastAsia" w:asciiTheme="minorEastAsia" w:hAnsiTheme="minorEastAsia" w:eastAsiaTheme="minorEastAsia"/>
                <w:bCs/>
                <w:iCs/>
              </w:rPr>
              <w:t>组织重要环境因素为固废的排放</w:t>
            </w:r>
            <w:r>
              <w:rPr>
                <w:rFonts w:hint="eastAsia" w:asciiTheme="minorEastAsia" w:hAnsiTheme="minorEastAsia" w:eastAsiaTheme="minorEastAsia"/>
                <w:bCs/>
                <w:iCs/>
                <w:lang w:eastAsia="zh-CN"/>
              </w:rPr>
              <w:t>、</w:t>
            </w:r>
            <w:r>
              <w:rPr>
                <w:rFonts w:hint="eastAsia" w:asciiTheme="minorEastAsia" w:hAnsiTheme="minorEastAsia" w:eastAsiaTheme="minorEastAsia"/>
                <w:bCs/>
                <w:iCs/>
              </w:rPr>
              <w:t>潜在火灾</w:t>
            </w:r>
            <w:r>
              <w:rPr>
                <w:rFonts w:hint="eastAsia" w:asciiTheme="minorEastAsia" w:hAnsiTheme="minorEastAsia" w:eastAsiaTheme="minorEastAsia"/>
                <w:bCs/>
                <w:iCs/>
                <w:lang w:eastAsia="zh-CN"/>
              </w:rPr>
              <w:t>、</w:t>
            </w:r>
            <w:r>
              <w:rPr>
                <w:rFonts w:hint="eastAsia" w:asciiTheme="minorEastAsia" w:hAnsiTheme="minorEastAsia" w:eastAsiaTheme="minorEastAsia"/>
                <w:bCs/>
                <w:iCs/>
              </w:rPr>
              <w:t>噪声的排放</w:t>
            </w:r>
            <w:r>
              <w:rPr>
                <w:rFonts w:hint="eastAsia" w:asciiTheme="minorEastAsia" w:hAnsiTheme="minorEastAsia" w:eastAsiaTheme="minorEastAsia"/>
                <w:bCs/>
                <w:iCs/>
                <w:lang w:eastAsia="zh-CN"/>
              </w:rPr>
              <w:t>、</w:t>
            </w:r>
            <w:r>
              <w:rPr>
                <w:rFonts w:hint="eastAsia" w:asciiTheme="minorEastAsia" w:hAnsiTheme="minorEastAsia" w:eastAsiaTheme="minorEastAsia"/>
                <w:bCs/>
                <w:iCs/>
              </w:rPr>
              <w:t>资源浪费，与之相关的过程有</w:t>
            </w:r>
            <w:r>
              <w:rPr>
                <w:rFonts w:hint="eastAsia" w:asciiTheme="minorEastAsia" w:hAnsiTheme="minorEastAsia" w:eastAsiaTheme="minorEastAsia"/>
                <w:bCs/>
                <w:iCs/>
                <w:lang w:val="en-US" w:eastAsia="zh-CN"/>
              </w:rPr>
              <w:t>办公过程，查勘过程。</w:t>
            </w:r>
            <w:r>
              <w:rPr>
                <w:rFonts w:hint="eastAsia" w:asciiTheme="minorEastAsia" w:hAnsiTheme="minorEastAsia" w:eastAsiaTheme="minorEastAsia"/>
                <w:bCs/>
                <w:iCs/>
              </w:rPr>
              <w:t>建立了控制过程的识别、策划控制程序，控制措施实施有效性（包括组织自身的污染预防控制及对相关方的控制）；组织在运行策划时，基于产品生命周期的思维，识别了整个过程的环境影响。具体控制措施，包括</w:t>
            </w:r>
            <w:r>
              <w:rPr>
                <w:rFonts w:hint="eastAsia" w:asciiTheme="minorEastAsia" w:hAnsiTheme="minorEastAsia" w:eastAsiaTheme="minorEastAsia"/>
                <w:bCs/>
                <w:iCs/>
                <w:lang w:eastAsia="zh-CN"/>
              </w:rPr>
              <w:t>应急预案和</w:t>
            </w:r>
            <w:r>
              <w:rPr>
                <w:rFonts w:hint="eastAsia" w:asciiTheme="minorEastAsia" w:hAnsiTheme="minorEastAsia" w:eastAsiaTheme="minorEastAsia"/>
                <w:bCs/>
                <w:iCs/>
                <w:lang w:val="en-US" w:eastAsia="zh-CN"/>
              </w:rPr>
              <w:t>固废</w:t>
            </w:r>
            <w:r>
              <w:rPr>
                <w:rFonts w:hint="eastAsia" w:asciiTheme="minorEastAsia" w:hAnsiTheme="minorEastAsia" w:eastAsiaTheme="minorEastAsia"/>
                <w:bCs/>
                <w:iCs/>
                <w:lang w:eastAsia="zh-CN"/>
              </w:rPr>
              <w:t>管理方案、</w:t>
            </w:r>
            <w:r>
              <w:rPr>
                <w:rFonts w:hint="eastAsia" w:asciiTheme="minorEastAsia" w:hAnsiTheme="minorEastAsia" w:eastAsiaTheme="minorEastAsia"/>
                <w:bCs/>
                <w:iCs/>
                <w:lang w:val="en-US" w:eastAsia="zh-CN"/>
              </w:rPr>
              <w:t>用水用电管理方案、消防管理方案</w:t>
            </w:r>
            <w:r>
              <w:rPr>
                <w:rFonts w:hint="eastAsia" w:asciiTheme="minorEastAsia" w:hAnsiTheme="minorEastAsia" w:eastAsiaTheme="minorEastAsia"/>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tabs>
                <w:tab w:val="left" w:pos="2552"/>
              </w:tabs>
              <w:spacing w:line="360" w:lineRule="exact"/>
              <w:ind w:firstLine="315" w:firstLineChars="150"/>
              <w:rPr>
                <w:rFonts w:asciiTheme="minorEastAsia" w:hAnsiTheme="minorEastAsia" w:eastAsiaTheme="minorEastAsia"/>
                <w:bCs/>
                <w:iCs/>
              </w:rPr>
            </w:pPr>
            <w:r>
              <w:rPr>
                <w:rFonts w:hint="eastAsia" w:asciiTheme="minorEastAsia" w:hAnsiTheme="minorEastAsia" w:eastAsiaTheme="minorEastAsia"/>
                <w:bCs/>
                <w:iCs/>
              </w:rPr>
              <w:t>组织建立了危险源识别、评价控制程序，识别评价了危险源、风险相关的过程，评价出了火灾、</w:t>
            </w:r>
            <w:r>
              <w:rPr>
                <w:rFonts w:hint="eastAsia" w:asciiTheme="minorEastAsia" w:hAnsiTheme="minorEastAsia" w:eastAsiaTheme="minorEastAsia"/>
                <w:bCs/>
                <w:iCs/>
                <w:lang w:eastAsia="zh-CN"/>
              </w:rPr>
              <w:t>触电、</w:t>
            </w:r>
            <w:r>
              <w:rPr>
                <w:rFonts w:hint="eastAsia" w:asciiTheme="minorEastAsia" w:hAnsiTheme="minorEastAsia" w:eastAsiaTheme="minorEastAsia"/>
                <w:bCs/>
                <w:iCs/>
                <w:lang w:val="en-US" w:eastAsia="zh-CN"/>
              </w:rPr>
              <w:t>交通重大伤亡事故</w:t>
            </w:r>
            <w:r>
              <w:rPr>
                <w:rFonts w:hint="eastAsia" w:ascii="宋体" w:hAnsi="宋体" w:cs="Times New Roman"/>
                <w:szCs w:val="21"/>
                <w:highlight w:val="none"/>
                <w:lang w:val="en-US" w:eastAsia="zh-CN"/>
              </w:rPr>
              <w:t>等</w:t>
            </w:r>
            <w:r>
              <w:rPr>
                <w:rFonts w:hint="eastAsia" w:asciiTheme="minorEastAsia" w:hAnsiTheme="minorEastAsia" w:eastAsiaTheme="minorEastAsia"/>
                <w:bCs/>
                <w:iCs/>
              </w:rPr>
              <w:t>重要危险源，与之相关的过程有</w:t>
            </w:r>
            <w:r>
              <w:rPr>
                <w:rFonts w:hint="eastAsia" w:asciiTheme="minorEastAsia" w:hAnsiTheme="minorEastAsia" w:eastAsiaTheme="minorEastAsia"/>
                <w:bCs/>
                <w:iCs/>
                <w:lang w:val="en-US" w:eastAsia="zh-CN"/>
              </w:rPr>
              <w:t>办公过程，查勘过程。</w:t>
            </w:r>
            <w:r>
              <w:rPr>
                <w:rFonts w:hint="eastAsia" w:asciiTheme="minorEastAsia" w:hAnsiTheme="minorEastAsia" w:eastAsiaTheme="minorEastAsia"/>
                <w:bCs/>
                <w:iCs/>
              </w:rPr>
              <w:t>针对不可接受风险制定了管理方案</w:t>
            </w:r>
            <w:r>
              <w:rPr>
                <w:rFonts w:hint="eastAsia" w:asciiTheme="minorEastAsia" w:hAnsiTheme="minorEastAsia" w:eastAsiaTheme="minorEastAsia"/>
                <w:bCs/>
                <w:iCs/>
                <w:lang w:val="en-US" w:eastAsia="zh-CN"/>
              </w:rPr>
              <w:t>和应急预案</w:t>
            </w:r>
            <w:r>
              <w:rPr>
                <w:rFonts w:hint="eastAsia" w:asciiTheme="minorEastAsia" w:hAnsiTheme="minorEastAsia" w:eastAsiaTheme="minorEastAsia"/>
                <w:bCs/>
                <w:iCs/>
              </w:rPr>
              <w:t>。控制措施实施有效。</w:t>
            </w:r>
          </w:p>
          <w:p>
            <w:pPr>
              <w:spacing w:line="240" w:lineRule="exact"/>
              <w:rPr>
                <w:rFonts w:ascii="Times New Roman" w:hAnsi="Times New Roman" w:eastAsia="宋体" w:cs="Times New Roman"/>
                <w:b/>
                <w:color w:val="000000" w:themeColor="text1"/>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cs="Times New Roman" w:asciiTheme="minorEastAsia" w:hAnsiTheme="minorEastAsia" w:eastAsiaTheme="minorEastAsia"/>
                <w:b/>
                <w:color w:val="000000" w:themeColor="text1"/>
                <w:spacing w:val="-4"/>
                <w:kern w:val="2"/>
                <w:sz w:val="20"/>
                <w:szCs w:val="20"/>
                <w:lang w:val="en-US" w:eastAsia="zh-CN" w:bidi="ar-SA"/>
              </w:rPr>
            </w:pPr>
            <w:r>
              <w:rPr>
                <w:rFonts w:hint="eastAsia" w:asciiTheme="minorEastAsia" w:hAnsiTheme="minorEastAsia" w:eastAsiaTheme="minorEastAsia"/>
                <w:bCs/>
                <w:iCs/>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spacing w:line="240" w:lineRule="exact"/>
              <w:rPr>
                <w:rFonts w:ascii="Times New Roman" w:hAnsi="Times New Roman" w:eastAsia="宋体" w:cs="Times New Roman"/>
                <w:b/>
                <w:color w:val="000000" w:themeColor="text1"/>
                <w:kern w:val="2"/>
                <w:sz w:val="20"/>
                <w:szCs w:val="20"/>
                <w:lang w:val="en-US" w:eastAsia="zh-CN" w:bidi="ar-SA"/>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sz w:val="20"/>
                <w:szCs w:val="20"/>
              </w:rPr>
            </w:pPr>
            <w:r>
              <w:rPr>
                <w:rFonts w:hint="eastAsia"/>
                <w:b/>
                <w:color w:val="000000" w:themeColor="text1"/>
                <w:sz w:val="20"/>
                <w:szCs w:val="20"/>
              </w:rPr>
              <w:t>11 .对危险化学品销售、使用、储存、运输处置，规定的执行力度(必要时);</w:t>
            </w:r>
            <w:r>
              <w:rPr>
                <w:rFonts w:hint="eastAsia"/>
                <w:b/>
                <w:sz w:val="20"/>
                <w:szCs w:val="20"/>
              </w:rPr>
              <w:t>（适用时）</w:t>
            </w:r>
          </w:p>
          <w:p>
            <w:pPr>
              <w:spacing w:line="240" w:lineRule="exact"/>
              <w:rPr>
                <w:rFonts w:ascii="Times New Roman" w:hAnsi="Times New Roman" w:eastAsia="宋体" w:cs="Times New Roman"/>
                <w:kern w:val="2"/>
                <w:sz w:val="20"/>
                <w:szCs w:val="20"/>
                <w:lang w:val="en-US" w:eastAsia="zh-CN" w:bidi="ar-SA"/>
              </w:rPr>
            </w:pPr>
            <w:r>
              <w:rPr>
                <w:rFonts w:hint="eastAsia"/>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0"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vAlign w:val="top"/>
          </w:tcPr>
          <w:p>
            <w:pPr>
              <w:spacing w:line="240" w:lineRule="exact"/>
              <w:ind w:left="100" w:hanging="100" w:hangingChars="50"/>
              <w:rPr>
                <w:b/>
                <w:color w:val="000000" w:themeColor="text1"/>
                <w:sz w:val="20"/>
                <w:szCs w:val="20"/>
                <w:highlight w:val="none"/>
              </w:rPr>
            </w:pPr>
            <w:r>
              <w:rPr>
                <w:rFonts w:hint="eastAsia"/>
                <w:b/>
                <w:color w:val="000000" w:themeColor="text1"/>
                <w:sz w:val="20"/>
                <w:szCs w:val="20"/>
                <w:highlight w:val="none"/>
              </w:rPr>
              <w:t>1. .对质量/环境/职业健康安全目标指标进行定期监测/检查情况</w:t>
            </w:r>
            <w:r>
              <w:rPr>
                <w:rFonts w:hint="eastAsia"/>
                <w:b/>
                <w:sz w:val="20"/>
                <w:szCs w:val="20"/>
                <w:highlight w:val="none"/>
              </w:rPr>
              <w:t>（适用时）</w:t>
            </w:r>
          </w:p>
          <w:p>
            <w:pPr>
              <w:spacing w:line="240" w:lineRule="exact"/>
              <w:ind w:firstLine="105" w:firstLineChars="50"/>
              <w:rPr>
                <w:rFonts w:ascii="Times New Roman" w:hAnsi="Times New Roman" w:eastAsia="宋体" w:cs="Times New Roman"/>
                <w:b/>
                <w:color w:val="000000" w:themeColor="text1"/>
                <w:kern w:val="2"/>
                <w:sz w:val="20"/>
                <w:szCs w:val="20"/>
                <w:highlight w:val="none"/>
                <w:lang w:val="en-US" w:eastAsia="zh-CN" w:bidi="ar-SA"/>
              </w:rPr>
            </w:pPr>
            <w:r>
              <w:rPr>
                <w:rFonts w:hint="eastAsia" w:ascii="宋体" w:hAnsi="宋体" w:cs="宋体"/>
                <w:color w:val="000000"/>
                <w:szCs w:val="21"/>
                <w:highlight w:val="none"/>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w:t>
            </w:r>
            <w:r>
              <w:rPr>
                <w:rFonts w:hint="eastAsia" w:ascii="宋体" w:hAnsi="宋体" w:cs="宋体"/>
                <w:color w:val="000000"/>
                <w:szCs w:val="21"/>
                <w:highlight w:val="none"/>
                <w:lang w:val="en-US" w:eastAsia="zh-CN"/>
              </w:rPr>
              <w:t>20</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1月</w:t>
            </w: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2020年8</w:t>
            </w:r>
            <w:r>
              <w:rPr>
                <w:rFonts w:hint="eastAsia" w:ascii="宋体" w:hAnsi="宋体" w:cs="宋体"/>
                <w:color w:val="000000"/>
                <w:szCs w:val="21"/>
                <w:highlight w:val="none"/>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ind w:left="100" w:hanging="100" w:hangingChars="50"/>
              <w:rPr>
                <w:b/>
                <w:color w:val="000000" w:themeColor="text1"/>
                <w:sz w:val="20"/>
                <w:szCs w:val="20"/>
                <w:highlight w:val="none"/>
              </w:rPr>
            </w:pPr>
            <w:r>
              <w:rPr>
                <w:rFonts w:hint="eastAsia"/>
                <w:b/>
                <w:color w:val="000000" w:themeColor="text1"/>
                <w:sz w:val="20"/>
                <w:szCs w:val="20"/>
                <w:highlight w:val="none"/>
              </w:rPr>
              <w:t>2.顾客满意</w:t>
            </w:r>
          </w:p>
          <w:p>
            <w:pPr>
              <w:spacing w:line="240" w:lineRule="exact"/>
              <w:ind w:left="105" w:leftChars="50" w:firstLine="315" w:firstLineChars="150"/>
              <w:rPr>
                <w:rFonts w:ascii="Times New Roman" w:hAnsi="Times New Roman" w:eastAsia="宋体" w:cs="Times New Roman"/>
                <w:b/>
                <w:color w:val="000000" w:themeColor="text1"/>
                <w:kern w:val="2"/>
                <w:sz w:val="20"/>
                <w:szCs w:val="20"/>
                <w:highlight w:val="none"/>
                <w:lang w:val="en-US" w:eastAsia="zh-CN" w:bidi="ar-SA"/>
              </w:rPr>
            </w:pPr>
            <w:r>
              <w:rPr>
                <w:rFonts w:hint="eastAsia" w:ascii="宋体" w:hAnsi="宋体" w:cs="宋体"/>
                <w:color w:val="000000"/>
                <w:szCs w:val="21"/>
                <w:highlight w:val="none"/>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w:t>
            </w:r>
            <w:r>
              <w:rPr>
                <w:rFonts w:hint="eastAsia" w:ascii="宋体" w:hAnsi="宋体" w:cs="宋体"/>
                <w:szCs w:val="21"/>
                <w:highlight w:val="none"/>
              </w:rPr>
              <w:t>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7</w:t>
            </w:r>
            <w:r>
              <w:rPr>
                <w:rFonts w:hint="eastAsia" w:ascii="宋体" w:hAnsi="宋体" w:cs="宋体"/>
                <w:szCs w:val="21"/>
                <w:highlight w:val="none"/>
              </w:rPr>
              <w:t>月实施，满意度评价9</w:t>
            </w:r>
            <w:r>
              <w:rPr>
                <w:rFonts w:hint="eastAsia" w:ascii="宋体" w:hAnsi="宋体" w:cs="宋体"/>
                <w:szCs w:val="21"/>
                <w:highlight w:val="none"/>
                <w:lang w:val="en-US" w:eastAsia="zh-CN"/>
              </w:rPr>
              <w:t>8</w:t>
            </w:r>
            <w:r>
              <w:rPr>
                <w:rFonts w:hint="eastAsia" w:ascii="宋体" w:hAnsi="宋体" w:cs="宋体"/>
                <w:szCs w:val="21"/>
                <w:highlight w:val="none"/>
              </w:rPr>
              <w:t>分，总体实现了顾客满意度的质量目标要求。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rFonts w:ascii="Times New Roman" w:hAnsi="Times New Roman" w:eastAsia="宋体" w:cs="Times New Roman"/>
                <w:b/>
                <w:color w:val="FF0000"/>
                <w:kern w:val="2"/>
                <w:sz w:val="20"/>
                <w:szCs w:val="20"/>
                <w:lang w:val="en-US" w:eastAsia="zh-CN" w:bidi="ar-SA"/>
              </w:rPr>
            </w:pPr>
            <w:r>
              <w:rPr>
                <w:rFonts w:hint="eastAsia" w:ascii="宋体" w:hAnsi="宋体"/>
                <w:szCs w:val="21"/>
              </w:rPr>
              <w:t>建立有《内部审核控制程序》，规定了内审频次一年一次，内审时间：20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6月11日</w:t>
            </w:r>
            <w:r>
              <w:rPr>
                <w:rFonts w:hint="eastAsia" w:ascii="宋体" w:hAnsi="宋体"/>
                <w:szCs w:val="21"/>
              </w:rPr>
              <w:t>，拟定了审核实施表，明确了内审范围，内审人员经培训合格上岗，能力满足要求，未出现审核本部门情况，内审</w:t>
            </w:r>
            <w:r>
              <w:rPr>
                <w:rFonts w:hint="eastAsia" w:ascii="宋体" w:hAnsi="宋体"/>
                <w:szCs w:val="21"/>
                <w:highlight w:val="none"/>
              </w:rPr>
              <w:t>不符合项</w:t>
            </w:r>
            <w:r>
              <w:rPr>
                <w:rFonts w:hint="eastAsia" w:ascii="宋体" w:hAnsi="宋体"/>
                <w:szCs w:val="21"/>
                <w:highlight w:val="none"/>
                <w:lang w:val="en-US" w:eastAsia="zh-CN"/>
              </w:rPr>
              <w:t>1</w:t>
            </w:r>
            <w:r>
              <w:rPr>
                <w:rFonts w:hint="eastAsia" w:ascii="宋体" w:hAnsi="宋体"/>
                <w:szCs w:val="21"/>
                <w:highlight w:val="none"/>
              </w:rPr>
              <w:t>项，涉及</w:t>
            </w:r>
            <w:r>
              <w:rPr>
                <w:rFonts w:hint="eastAsia"/>
                <w:sz w:val="24"/>
                <w:lang w:eastAsia="zh-CN"/>
              </w:rPr>
              <w:t>行政与人力资源部</w:t>
            </w:r>
            <w:r>
              <w:rPr>
                <w:rFonts w:hint="eastAsia"/>
                <w:sz w:val="24"/>
                <w:lang w:val="en-US" w:eastAsia="zh-CN"/>
              </w:rPr>
              <w:t>QES</w:t>
            </w:r>
            <w:r>
              <w:rPr>
                <w:rFonts w:hint="eastAsia" w:ascii="宋体" w:hAnsi="宋体"/>
                <w:szCs w:val="21"/>
                <w:highlight w:val="none"/>
                <w:lang w:val="en-US" w:eastAsia="zh-CN"/>
              </w:rPr>
              <w:t>7.5.3条“办公室防火安全管理规则”为失效版本，未及时更新</w:t>
            </w:r>
            <w:r>
              <w:rPr>
                <w:rFonts w:hint="eastAsia" w:ascii="宋体" w:hAnsi="宋体"/>
                <w:szCs w:val="21"/>
                <w:highlight w:val="none"/>
              </w:rPr>
              <w:t>，针对该不符合项，已及时采取纠正措施后，经内审员验证关闭。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1"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rFonts w:ascii="Times New Roman" w:hAnsi="Times New Roman" w:eastAsia="宋体" w:cs="Times New Roman"/>
                <w:b/>
                <w:color w:val="000000" w:themeColor="text1"/>
                <w:kern w:val="2"/>
                <w:sz w:val="20"/>
                <w:szCs w:val="20"/>
                <w:lang w:val="en-US" w:eastAsia="zh-CN" w:bidi="ar-SA"/>
              </w:rPr>
            </w:pPr>
            <w:r>
              <w:rPr>
                <w:rFonts w:hint="eastAsia" w:ascii="宋体" w:hAnsi="宋体" w:cs="宋体"/>
                <w:szCs w:val="21"/>
              </w:rPr>
              <w:t>管理评审频次为一年一次、本次管理评审于</w:t>
            </w:r>
            <w:r>
              <w:rPr>
                <w:rFonts w:hint="eastAsia" w:ascii="宋体" w:hAnsi="宋体"/>
                <w:szCs w:val="21"/>
              </w:rPr>
              <w:t>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6</w:t>
            </w:r>
            <w:r>
              <w:rPr>
                <w:rFonts w:hint="eastAsia" w:ascii="宋体" w:hAnsi="宋体"/>
                <w:szCs w:val="21"/>
              </w:rPr>
              <w:t>月</w:t>
            </w:r>
            <w:r>
              <w:rPr>
                <w:rFonts w:hint="eastAsia" w:ascii="宋体" w:hAnsi="宋体"/>
                <w:szCs w:val="21"/>
                <w:lang w:val="en-US" w:eastAsia="zh-CN"/>
              </w:rPr>
              <w:t>25</w:t>
            </w:r>
            <w:r>
              <w:rPr>
                <w:rFonts w:hint="eastAsia" w:ascii="宋体" w:hAnsi="宋体"/>
                <w:szCs w:val="21"/>
              </w:rPr>
              <w:t>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做出了管理体系基本适宜、充分和有效的评审结论。管理评审的输出</w:t>
            </w:r>
            <w:r>
              <w:rPr>
                <w:rFonts w:hint="eastAsia" w:ascii="宋体" w:hAnsi="宋体" w:cs="宋体"/>
                <w:szCs w:val="21"/>
                <w:lang w:val="en-US" w:eastAsia="zh-CN"/>
              </w:rPr>
              <w:t>完善</w:t>
            </w: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ind w:firstLine="200" w:firstLineChars="100"/>
              <w:rPr>
                <w:rFonts w:ascii="Times New Roman" w:hAnsi="Times New Roman" w:eastAsia="宋体" w:cs="Times New Roman"/>
                <w:kern w:val="2"/>
                <w:sz w:val="20"/>
                <w:szCs w:val="20"/>
                <w:lang w:val="en-US" w:eastAsia="zh-CN" w:bidi="ar-SA"/>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rFonts w:ascii="Times New Roman" w:hAnsi="Times New Roman" w:eastAsia="宋体" w:cs="Times New Roman"/>
                <w:b/>
                <w:kern w:val="2"/>
                <w:sz w:val="20"/>
                <w:szCs w:val="20"/>
                <w:lang w:val="en-US" w:eastAsia="zh-CN" w:bidi="ar-SA"/>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240" w:lineRule="exact"/>
              <w:rPr>
                <w:rFonts w:ascii="Times New Roman" w:hAnsi="Times New Roman" w:eastAsia="宋体" w:cs="Times New Roman"/>
                <w:b/>
                <w:color w:val="000000" w:themeColor="text1"/>
                <w:kern w:val="2"/>
                <w:sz w:val="20"/>
                <w:szCs w:val="20"/>
                <w:lang w:val="en-US" w:eastAsia="zh-CN" w:bidi="ar-SA"/>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rFonts w:ascii="Times New Roman" w:hAnsi="Times New Roman" w:eastAsia="宋体" w:cs="Times New Roman"/>
                <w:b/>
                <w:kern w:val="2"/>
                <w:sz w:val="20"/>
                <w:szCs w:val="20"/>
                <w:lang w:val="en-US" w:eastAsia="zh-CN" w:bidi="ar-SA"/>
              </w:rPr>
            </w:pPr>
            <w:r>
              <w:rPr>
                <w:rFonts w:hint="eastAsia"/>
                <w:b/>
                <w:sz w:val="20"/>
                <w:szCs w:val="20"/>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vAlign w:val="top"/>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rFonts w:ascii="Times New Roman" w:hAnsi="Times New Roman" w:eastAsia="宋体" w:cs="Times New Roman"/>
                <w:b/>
                <w:kern w:val="2"/>
                <w:sz w:val="20"/>
                <w:szCs w:val="20"/>
                <w:lang w:val="en-US" w:eastAsia="zh-CN" w:bidi="ar-SA"/>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rFonts w:ascii="Times New Roman" w:hAnsi="Times New Roman" w:eastAsia="宋体" w:cs="Times New Roman"/>
                <w:b/>
                <w:color w:val="000000" w:themeColor="text1"/>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rFonts w:ascii="Times New Roman" w:hAnsi="Times New Roman" w:eastAsia="宋体" w:cs="Times New Roman"/>
                <w:b/>
                <w:color w:val="000000" w:themeColor="text1"/>
                <w:kern w:val="2"/>
                <w:sz w:val="20"/>
                <w:szCs w:val="20"/>
                <w:lang w:val="en-US" w:eastAsia="zh-CN" w:bidi="ar-SA"/>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rFonts w:ascii="Times New Roman" w:hAnsi="Times New Roman" w:eastAsia="宋体" w:cs="Times New Roman"/>
                <w:b/>
                <w:color w:val="000000" w:themeColor="text1"/>
                <w:spacing w:val="-20"/>
                <w:kern w:val="2"/>
                <w:sz w:val="20"/>
                <w:szCs w:val="20"/>
                <w:lang w:val="en-US" w:eastAsia="zh-CN" w:bidi="ar-SA"/>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rFonts w:ascii="Times New Roman" w:hAnsi="Times New Roman" w:eastAsia="宋体" w:cs="Times New Roman"/>
                <w:b/>
                <w:color w:val="000000" w:themeColor="text1"/>
                <w:kern w:val="2"/>
                <w:sz w:val="20"/>
                <w:szCs w:val="20"/>
                <w:lang w:val="en-US" w:eastAsia="zh-CN" w:bidi="ar-SA"/>
              </w:rPr>
            </w:pPr>
            <w:r>
              <w:rPr>
                <w:rFonts w:hint="eastAsia"/>
                <w:b/>
                <w:color w:val="000000" w:themeColor="text1"/>
                <w:spacing w:val="-20"/>
                <w:sz w:val="20"/>
                <w:szCs w:val="20"/>
                <w:lang w:eastAsia="zh-CN"/>
              </w:rPr>
              <w:t>二阶段审核时开具的不符合项已关闭。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rFonts w:ascii="Times New Roman" w:hAnsi="Times New Roman" w:eastAsia="宋体" w:cs="Times New Roman"/>
                <w:b/>
                <w:color w:val="000000" w:themeColor="text1"/>
                <w:kern w:val="2"/>
                <w:sz w:val="21"/>
                <w:szCs w:val="21"/>
                <w:lang w:val="en-US" w:eastAsia="zh-CN" w:bidi="ar-SA"/>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 xml:space="preserve">1 </w:t>
      </w:r>
      <w:r>
        <w:rPr>
          <w:rFonts w:hint="eastAsia"/>
          <w:b/>
          <w:color w:val="000000" w:themeColor="text1"/>
        </w:rPr>
        <w:t>项；其中</w:t>
      </w:r>
      <w:r>
        <w:rPr>
          <w:b/>
          <w:color w:val="000000" w:themeColor="text1"/>
        </w:rPr>
        <w:pict>
          <v:line id="直接连接符 1" o:spid="_x0000_s1027"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 xml:space="preserve"> 0 </w:t>
      </w:r>
      <w:r>
        <w:rPr>
          <w:rFonts w:hint="eastAsia"/>
          <w:b/>
          <w:color w:val="000000" w:themeColor="text1"/>
        </w:rPr>
        <w:t>项，一般不符合</w:t>
      </w:r>
      <w:r>
        <w:rPr>
          <w:rFonts w:hint="eastAsia"/>
          <w:b/>
          <w:color w:val="000000" w:themeColor="text1"/>
          <w:lang w:val="en-US" w:eastAsia="zh-CN"/>
        </w:rPr>
        <w:t>1</w:t>
      </w:r>
      <w:r>
        <w:rPr>
          <w:rFonts w:hint="eastAsia"/>
          <w:b/>
          <w:color w:val="000000" w:themeColor="text1"/>
        </w:rPr>
        <w:t>项，观察项项分布在</w:t>
      </w:r>
      <w:r>
        <w:rPr>
          <w:rFonts w:hint="eastAsia"/>
          <w:b/>
          <w:color w:val="000000" w:themeColor="text1"/>
          <w:lang w:val="en-US" w:eastAsia="zh-CN"/>
        </w:rPr>
        <w:t xml:space="preserve">           </w:t>
      </w:r>
      <w:r>
        <w:rPr>
          <w:rFonts w:hint="eastAsia"/>
          <w:b/>
          <w:color w:val="000000" w:themeColor="text1"/>
        </w:rPr>
        <w:t>部门</w:t>
      </w:r>
      <w:r>
        <w:rPr>
          <w:rFonts w:hint="eastAsia"/>
          <w:b/>
          <w:color w:val="000000" w:themeColor="text1"/>
          <w:lang w:val="en-US" w:eastAsia="zh-CN"/>
        </w:rPr>
        <w:t>评估部门Q7.1.5</w:t>
      </w:r>
      <w:r>
        <w:rPr>
          <w:rFonts w:hint="eastAsia"/>
          <w:b/>
          <w:color w:val="000000" w:themeColor="text1"/>
        </w:rPr>
        <w:t>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lang w:eastAsia="zh-CN"/>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hint="eastAsia" w:ascii="宋体" w:hAnsi="宋体" w:eastAsia="宋体"/>
          <w:b/>
          <w:color w:val="000000" w:themeColor="text1"/>
          <w:szCs w:val="21"/>
          <w:lang w:val="en-US" w:eastAsia="zh-CN"/>
        </w:rPr>
      </w:pPr>
      <w:r>
        <w:rPr>
          <w:rFonts w:hint="eastAsia"/>
          <w:b/>
          <w:color w:val="000000" w:themeColor="text1"/>
          <w:spacing w:val="-10"/>
          <w:szCs w:val="21"/>
          <w:lang w:eastAsia="zh-CN"/>
        </w:rPr>
        <w:t>■</w:t>
      </w:r>
      <w:r>
        <w:rPr>
          <w:rFonts w:hint="eastAsia" w:ascii="宋体" w:hAnsi="宋体"/>
          <w:b/>
          <w:color w:val="000000" w:themeColor="text1"/>
          <w:szCs w:val="21"/>
        </w:rPr>
        <w:t>可能影响本次审核结论可靠性的因素：</w:t>
      </w:r>
      <w:r>
        <w:rPr>
          <w:rFonts w:hint="eastAsia" w:ascii="宋体" w:hAnsi="宋体"/>
          <w:b/>
          <w:color w:val="000000" w:themeColor="text1"/>
          <w:szCs w:val="21"/>
          <w:lang w:val="en-US" w:eastAsia="zh-CN"/>
        </w:rPr>
        <w:t>无</w:t>
      </w:r>
    </w:p>
    <w:tbl>
      <w:tblPr>
        <w:tblStyle w:val="9"/>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8"/>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7" w:hRule="atLeast"/>
        </w:trPr>
        <w:tc>
          <w:tcPr>
            <w:tcW w:w="10080" w:type="dxa"/>
            <w:vAlign w:val="top"/>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z w:val="22"/>
                <w:szCs w:val="22"/>
                <w:lang w:eastAsia="zh-CN"/>
              </w:rPr>
              <w:t>■</w:t>
            </w:r>
            <w:r>
              <w:rPr>
                <w:rFonts w:hint="eastAsia"/>
                <w:b/>
                <w:color w:val="000000" w:themeColor="text1"/>
                <w:sz w:val="22"/>
                <w:szCs w:val="22"/>
              </w:rPr>
              <w:t xml:space="preserve">EMS  </w:t>
            </w:r>
            <w:r>
              <w:rPr>
                <w:rFonts w:hint="eastAsia"/>
                <w:b/>
                <w:color w:val="000000" w:themeColor="text1"/>
                <w:spacing w:val="-10"/>
                <w:szCs w:val="21"/>
                <w:lang w:eastAsia="zh-CN"/>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lang w:eastAsia="zh-CN"/>
              </w:rPr>
              <w:t>■</w:t>
            </w:r>
            <w:r>
              <w:rPr>
                <w:rFonts w:hint="eastAsia"/>
                <w:b/>
                <w:color w:val="000000" w:themeColor="text1"/>
                <w:sz w:val="22"/>
                <w:szCs w:val="22"/>
              </w:rPr>
              <w:t xml:space="preserve">QMS  </w:t>
            </w:r>
            <w:r>
              <w:rPr>
                <w:rFonts w:hint="eastAsia"/>
                <w:b/>
                <w:color w:val="000000" w:themeColor="text1"/>
                <w:sz w:val="22"/>
                <w:szCs w:val="22"/>
                <w:lang w:eastAsia="zh-CN"/>
              </w:rPr>
              <w:t>■</w:t>
            </w:r>
            <w:r>
              <w:rPr>
                <w:rFonts w:hint="eastAsia"/>
                <w:b/>
                <w:color w:val="000000" w:themeColor="text1"/>
                <w:sz w:val="22"/>
                <w:szCs w:val="22"/>
              </w:rPr>
              <w:t xml:space="preserve">EMS  </w:t>
            </w:r>
            <w:r>
              <w:rPr>
                <w:rFonts w:hint="eastAsia"/>
                <w:b/>
                <w:color w:val="000000" w:themeColor="text1"/>
                <w:sz w:val="22"/>
                <w:szCs w:val="22"/>
                <w:lang w:eastAsia="zh-CN"/>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spacing w:line="240" w:lineRule="exact"/>
              <w:rPr>
                <w:rFonts w:ascii="Times New Roman" w:hAnsi="Times New Roman" w:eastAsia="宋体" w:cs="Times New Roman"/>
                <w:b/>
                <w:color w:val="000000" w:themeColor="text1"/>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trPr>
        <w:tc>
          <w:tcPr>
            <w:tcW w:w="10080" w:type="dxa"/>
            <w:vAlign w:val="top"/>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rPr>
                <w:rFonts w:hint="eastAsia" w:ascii="宋体" w:hAnsi="宋体"/>
                <w:szCs w:val="21"/>
                <w:lang w:eastAsia="zh-CN"/>
              </w:rPr>
            </w:pPr>
            <w:r>
              <w:rPr>
                <w:rFonts w:ascii="宋体" w:hAnsi="宋体"/>
                <w:b/>
                <w:color w:val="000000"/>
                <w:sz w:val="20"/>
                <w:szCs w:val="20"/>
              </w:rPr>
              <w:t>QMS:</w:t>
            </w:r>
            <w:r>
              <w:rPr>
                <w:rFonts w:hint="eastAsia" w:ascii="宋体" w:hAnsi="宋体"/>
                <w:szCs w:val="21"/>
                <w:lang w:eastAsia="zh-CN"/>
              </w:rPr>
              <w:t>资产评估、房地产估价（一级）、土地评估。</w:t>
            </w:r>
          </w:p>
          <w:p>
            <w:pPr>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w:t>
            </w:r>
            <w:r>
              <w:rPr>
                <w:rFonts w:hint="eastAsia" w:ascii="宋体" w:hAnsi="宋体"/>
                <w:szCs w:val="21"/>
                <w:lang w:eastAsia="zh-CN"/>
              </w:rPr>
              <w:t>资产评估、房地产估价（一级）、土地评估</w:t>
            </w:r>
            <w:r>
              <w:rPr>
                <w:rFonts w:hint="eastAsia" w:ascii="宋体" w:hAnsi="宋体"/>
                <w:szCs w:val="21"/>
              </w:rPr>
              <w:t>所涉及的相关环境管理活动</w:t>
            </w:r>
            <w:r>
              <w:rPr>
                <w:rFonts w:hint="eastAsia" w:ascii="宋体" w:hAnsi="宋体"/>
                <w:szCs w:val="21"/>
                <w:lang w:eastAsia="zh-CN"/>
              </w:rPr>
              <w:t>。</w:t>
            </w:r>
          </w:p>
          <w:p>
            <w:pPr>
              <w:jc w:val="both"/>
              <w:rPr>
                <w:rFonts w:ascii="Times New Roman" w:hAnsi="Times New Roman" w:eastAsia="宋体" w:cs="Times New Roman"/>
                <w:b/>
                <w:color w:val="000000" w:themeColor="text1"/>
                <w:spacing w:val="-10"/>
                <w:kern w:val="2"/>
                <w:sz w:val="22"/>
                <w:szCs w:val="22"/>
                <w:lang w:val="en-US" w:eastAsia="zh-CN" w:bidi="ar-SA"/>
              </w:rPr>
            </w:pPr>
            <w:r>
              <w:rPr>
                <w:rFonts w:ascii="宋体" w:hAnsi="宋体"/>
                <w:b/>
                <w:color w:val="000000"/>
                <w:sz w:val="20"/>
                <w:szCs w:val="20"/>
              </w:rPr>
              <w:t>OHSMS</w:t>
            </w:r>
            <w:r>
              <w:rPr>
                <w:rFonts w:ascii="宋体" w:hAnsi="宋体"/>
                <w:b/>
                <w:color w:val="000000"/>
                <w:sz w:val="20"/>
                <w:szCs w:val="20"/>
                <w:lang w:val="en-GB"/>
              </w:rPr>
              <w:t>:</w:t>
            </w:r>
            <w:r>
              <w:rPr>
                <w:rFonts w:hint="eastAsia" w:ascii="宋体" w:hAnsi="宋体"/>
                <w:szCs w:val="21"/>
                <w:lang w:eastAsia="zh-CN"/>
              </w:rPr>
              <w:t>资产评估、房地产估价（一级）、土地评估</w:t>
            </w:r>
            <w:r>
              <w:rPr>
                <w:rFonts w:hint="eastAsia" w:ascii="宋体" w:hAnsi="宋体"/>
                <w:szCs w:val="21"/>
              </w:rPr>
              <w:t>所涉及的相关职业健康安全管理活动</w:t>
            </w:r>
            <w:r>
              <w:rPr>
                <w:rFonts w:hint="eastAsia" w:ascii="宋体" w:hAnsi="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0" w:hRule="atLeast"/>
        </w:trPr>
        <w:tc>
          <w:tcPr>
            <w:tcW w:w="10080" w:type="dxa"/>
            <w:vAlign w:val="top"/>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zCs w:val="21"/>
                <w:lang w:eastAsia="zh-CN"/>
              </w:rPr>
              <w:t>■</w:t>
            </w:r>
            <w:r>
              <w:rPr>
                <w:rFonts w:hint="eastAsia"/>
                <w:b/>
                <w:color w:val="000000" w:themeColor="text1"/>
                <w:szCs w:val="21"/>
              </w:rPr>
              <w:t xml:space="preserve">QMS  </w:t>
            </w:r>
            <w:r>
              <w:rPr>
                <w:rFonts w:hint="eastAsia"/>
                <w:b/>
                <w:color w:val="000000" w:themeColor="text1"/>
                <w:szCs w:val="21"/>
                <w:lang w:eastAsia="zh-CN"/>
              </w:rPr>
              <w:t>■</w:t>
            </w:r>
            <w:r>
              <w:rPr>
                <w:rFonts w:hint="eastAsia"/>
                <w:b/>
                <w:color w:val="000000" w:themeColor="text1"/>
                <w:szCs w:val="21"/>
              </w:rPr>
              <w:t xml:space="preserve">EMS   </w:t>
            </w:r>
            <w:r>
              <w:rPr>
                <w:rFonts w:hint="eastAsia"/>
                <w:b/>
                <w:color w:val="000000" w:themeColor="text1"/>
                <w:szCs w:val="21"/>
                <w:lang w:eastAsia="zh-CN"/>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rFonts w:ascii="Times New Roman" w:hAnsi="Times New Roman" w:eastAsia="宋体" w:cs="Times New Roman"/>
                <w:b/>
                <w:color w:val="000000" w:themeColor="text1"/>
                <w:spacing w:val="-10"/>
                <w:kern w:val="2"/>
                <w:sz w:val="16"/>
                <w:szCs w:val="16"/>
                <w:lang w:val="en-US" w:eastAsia="zh-CN" w:bidi="ar-SA"/>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7"/>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w:t>
      </w:r>
      <w:r>
        <w:rPr>
          <w:rFonts w:hint="eastAsia"/>
          <w:b/>
          <w:color w:val="000000" w:themeColor="text1"/>
          <w:lang w:val="en-US" w:eastAsia="zh-CN"/>
        </w:rPr>
        <w:t>30</w:t>
      </w:r>
      <w:r>
        <w:rPr>
          <w:rFonts w:hint="eastAsia"/>
          <w:b/>
          <w:color w:val="000000" w:themeColor="text1"/>
        </w:rPr>
        <w:t>天/严重不符合在</w:t>
      </w:r>
      <w:r>
        <w:rPr>
          <w:rFonts w:hint="eastAsia"/>
          <w:b/>
          <w:color w:val="000000" w:themeColor="text1"/>
          <w:lang w:val="en-US" w:eastAsia="zh-CN"/>
        </w:rPr>
        <w:t>60</w:t>
      </w:r>
      <w:r>
        <w:rPr>
          <w:rFonts w:hint="eastAsia"/>
          <w:b/>
          <w:color w:val="000000" w:themeColor="text1"/>
        </w:rPr>
        <w:t>天针对不符合原因制定并实施纠正措施。验证方式见不符合项报告。</w:t>
      </w:r>
    </w:p>
    <w:p>
      <w:pPr>
        <w:spacing w:before="156" w:beforeLines="50" w:after="156" w:afterLines="50"/>
        <w:ind w:left="1" w:leftChars="-405" w:hanging="851" w:hangingChars="326"/>
        <w:rPr>
          <w:rFonts w:hint="eastAsia" w:eastAsia="宋体"/>
          <w:b/>
          <w:color w:val="000000" w:themeColor="text1"/>
          <w:sz w:val="26"/>
          <w:szCs w:val="26"/>
          <w:lang w:val="en-US" w:eastAsia="zh-CN"/>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000000" w:themeColor="text1"/>
          <w:sz w:val="26"/>
          <w:szCs w:val="26"/>
          <w:lang w:val="en-US" w:eastAsia="zh-CN"/>
        </w:rPr>
        <w:t>无</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7" w:firstLineChars="250"/>
        <w:rPr>
          <w:b/>
          <w:color w:val="000000" w:themeColor="text1"/>
        </w:rPr>
      </w:pP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val="en-US" w:eastAsia="zh-CN"/>
        </w:rPr>
        <w:t>2020</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9</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26</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bCs/>
          <w:color w:val="000000" w:themeColor="text1"/>
          <w:szCs w:val="21"/>
          <w:lang w:eastAsia="zh-CN"/>
        </w:rPr>
        <w:t>■</w:t>
      </w:r>
      <w:r>
        <w:rPr>
          <w:rFonts w:hint="eastAsia"/>
          <w:b/>
          <w:color w:val="000000" w:themeColor="text1"/>
          <w:szCs w:val="21"/>
        </w:rPr>
        <w:t xml:space="preserve">QMS(  </w:t>
      </w:r>
      <w:r>
        <w:rPr>
          <w:rFonts w:hint="eastAsia"/>
          <w:b/>
          <w:color w:val="000000" w:themeColor="text1"/>
          <w:szCs w:val="21"/>
          <w:lang w:val="en-US" w:eastAsia="zh-CN"/>
        </w:rPr>
        <w:t>1</w:t>
      </w:r>
      <w:r>
        <w:rPr>
          <w:rFonts w:hint="eastAsia"/>
          <w:b/>
          <w:color w:val="000000" w:themeColor="text1"/>
          <w:szCs w:val="21"/>
        </w:rPr>
        <w:t xml:space="preserve"> )个一般不符合，( </w:t>
      </w:r>
      <w:r>
        <w:rPr>
          <w:rFonts w:hint="eastAsia"/>
          <w:b/>
          <w:color w:val="000000" w:themeColor="text1"/>
          <w:szCs w:val="21"/>
          <w:lang w:val="en-US" w:eastAsia="zh-CN"/>
        </w:rPr>
        <w:t>0</w:t>
      </w:r>
      <w:r>
        <w:rPr>
          <w:rFonts w:hint="eastAsia"/>
          <w:b/>
          <w:color w:val="000000" w:themeColor="text1"/>
          <w:szCs w:val="21"/>
        </w:rPr>
        <w:t>)个严重不符合，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843" w:firstLineChars="400"/>
        <w:rPr>
          <w:b/>
          <w:color w:val="000000" w:themeColor="text1"/>
          <w:szCs w:val="21"/>
        </w:rPr>
      </w:pPr>
      <w:r>
        <w:rPr>
          <w:rFonts w:hint="eastAsia"/>
          <w:b/>
          <w:bCs/>
          <w:color w:val="000000" w:themeColor="text1"/>
          <w:szCs w:val="21"/>
          <w:highlight w:val="none"/>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rFonts w:hint="default" w:eastAsia="宋体"/>
          <w:b/>
          <w:color w:val="000000" w:themeColor="text1"/>
          <w:szCs w:val="21"/>
          <w:lang w:val="en-US" w:eastAsia="zh-CN"/>
        </w:rPr>
      </w:pPr>
      <w:r>
        <w:rPr>
          <w:rFonts w:hint="eastAsia"/>
          <w:b/>
          <w:color w:val="000000" w:themeColor="text1"/>
          <w:szCs w:val="21"/>
        </w:rPr>
        <w:t xml:space="preserve">组长签字:                               日期: </w:t>
      </w:r>
      <w:r>
        <w:rPr>
          <w:rFonts w:hint="eastAsia"/>
          <w:b/>
          <w:color w:val="000000" w:themeColor="text1"/>
          <w:szCs w:val="21"/>
          <w:lang w:val="en-US" w:eastAsia="zh-CN"/>
        </w:rPr>
        <w:t xml:space="preserve">         年    月    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3"/>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numPr>
          <w:ilvl w:val="0"/>
          <w:numId w:val="3"/>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bookmarkStart w:id="22"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bookmarkEnd w:id="22"/>
  </w:p>
  <w:p>
    <w:pPr>
      <w:pStyle w:val="6"/>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DF42DAE"/>
    <w:rsid w:val="1625005B"/>
    <w:rsid w:val="20F66988"/>
    <w:rsid w:val="2AE61FA9"/>
    <w:rsid w:val="5705107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0"/>
    <w:rPr>
      <w:color w:val="0000FF"/>
    </w:rPr>
  </w:style>
  <w:style w:type="paragraph" w:styleId="4">
    <w:name w:val="Balloon Text"/>
    <w:basedOn w:val="1"/>
    <w:link w:val="15"/>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6"/>
    <w:qFormat/>
    <w:uiPriority w:val="99"/>
    <w:rPr>
      <w:rFonts w:ascii="Times New Roman" w:hAnsi="Times New Roman" w:eastAsia="宋体" w:cs="Times New Roman"/>
      <w:sz w:val="18"/>
      <w:szCs w:val="18"/>
    </w:rPr>
  </w:style>
  <w:style w:type="character" w:customStyle="1" w:styleId="14">
    <w:name w:val="页脚 Char"/>
    <w:basedOn w:val="10"/>
    <w:link w:val="5"/>
    <w:qFormat/>
    <w:uiPriority w:val="99"/>
    <w:rPr>
      <w:rFonts w:ascii="Times New Roman" w:hAnsi="Times New Roman" w:eastAsia="宋体" w:cs="Times New Roman"/>
      <w:sz w:val="18"/>
      <w:szCs w:val="18"/>
    </w:rPr>
  </w:style>
  <w:style w:type="character" w:customStyle="1" w:styleId="15">
    <w:name w:val="批注框文本 Char"/>
    <w:basedOn w:val="10"/>
    <w:link w:val="4"/>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10</TotalTime>
  <ScaleCrop>false</ScaleCrop>
  <LinksUpToDate>false</LinksUpToDate>
  <CharactersWithSpaces>5143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Dell</cp:lastModifiedBy>
  <cp:lastPrinted>2019-05-13T03:19:00Z</cp:lastPrinted>
  <dcterms:modified xsi:type="dcterms:W3CDTF">2020-09-25T03:33:40Z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