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sz w:val="36"/>
          <w:szCs w:val="36"/>
        </w:rPr>
      </w:pPr>
      <w:r>
        <w:rPr>
          <w:rFonts w:hint="eastAsia" w:ascii="楷体" w:hAnsi="楷体" w:eastAsia="楷体"/>
          <w:bCs/>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1311"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涉及条款</w:t>
            </w:r>
          </w:p>
        </w:tc>
        <w:tc>
          <w:tcPr>
            <w:tcW w:w="10004"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 xml:space="preserve">受审核部门：办公室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主管领导：</w:t>
            </w:r>
            <w:r>
              <w:rPr>
                <w:rFonts w:hint="eastAsia" w:ascii="宋体" w:hAnsi="宋体" w:eastAsia="宋体" w:cs="宋体"/>
                <w:sz w:val="21"/>
                <w:szCs w:val="21"/>
                <w:lang w:val="en-US" w:eastAsia="zh-CN"/>
              </w:rPr>
              <w:t xml:space="preserve">梁春燕  </w:t>
            </w:r>
            <w:r>
              <w:rPr>
                <w:rFonts w:hint="eastAsia" w:ascii="宋体" w:hAnsi="宋体" w:eastAsia="宋体" w:cs="宋体"/>
                <w:sz w:val="21"/>
                <w:szCs w:val="21"/>
              </w:rPr>
              <w:t xml:space="preserve">    陪同人员：</w:t>
            </w:r>
            <w:r>
              <w:rPr>
                <w:rFonts w:hint="eastAsia" w:ascii="宋体" w:hAnsi="宋体" w:eastAsia="宋体" w:cs="宋体"/>
                <w:sz w:val="21"/>
                <w:szCs w:val="21"/>
                <w:lang w:val="en-US" w:eastAsia="zh-CN"/>
              </w:rPr>
              <w:t>严伟</w:t>
            </w:r>
          </w:p>
        </w:tc>
        <w:tc>
          <w:tcPr>
            <w:tcW w:w="1585"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360" w:lineRule="auto"/>
              <w:rPr>
                <w:rFonts w:hint="eastAsia" w:ascii="宋体" w:hAnsi="宋体" w:eastAsia="宋体" w:cs="宋体"/>
                <w:sz w:val="21"/>
                <w:szCs w:val="21"/>
              </w:rPr>
            </w:pPr>
          </w:p>
        </w:tc>
        <w:tc>
          <w:tcPr>
            <w:tcW w:w="1311"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spacing w:before="120" w:line="360" w:lineRule="auto"/>
              <w:rPr>
                <w:rFonts w:hint="eastAsia" w:ascii="宋体" w:hAnsi="宋体" w:eastAsia="宋体" w:cs="宋体"/>
                <w:sz w:val="21"/>
                <w:szCs w:val="21"/>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李俐</w:t>
            </w:r>
            <w:r>
              <w:rPr>
                <w:rFonts w:hint="eastAsia" w:ascii="宋体" w:hAnsi="宋体" w:eastAsia="宋体" w:cs="宋体"/>
                <w:sz w:val="21"/>
                <w:szCs w:val="21"/>
              </w:rPr>
              <w:t xml:space="preserve">        审核时间：2020.9.24</w:t>
            </w:r>
          </w:p>
        </w:tc>
        <w:tc>
          <w:tcPr>
            <w:tcW w:w="1585"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spacing w:line="360" w:lineRule="auto"/>
              <w:rPr>
                <w:rFonts w:hint="eastAsia" w:ascii="宋体" w:hAnsi="宋体" w:eastAsia="宋体" w:cs="宋体"/>
                <w:sz w:val="21"/>
                <w:szCs w:val="21"/>
              </w:rPr>
            </w:pPr>
          </w:p>
        </w:tc>
        <w:tc>
          <w:tcPr>
            <w:tcW w:w="1311"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adjustRightInd w:val="0"/>
              <w:snapToGrid w:val="0"/>
              <w:spacing w:line="360" w:lineRule="auto"/>
              <w:ind w:right="105" w:rightChars="50"/>
              <w:jc w:val="left"/>
              <w:textAlignment w:val="baseline"/>
              <w:rPr>
                <w:rFonts w:hint="eastAsia" w:ascii="宋体" w:hAnsi="宋体" w:eastAsia="宋体" w:cs="宋体"/>
                <w:sz w:val="21"/>
                <w:szCs w:val="21"/>
              </w:rPr>
            </w:pPr>
            <w:r>
              <w:rPr>
                <w:rFonts w:hint="eastAsia" w:ascii="宋体" w:hAnsi="宋体" w:eastAsia="宋体" w:cs="宋体"/>
                <w:sz w:val="21"/>
                <w:szCs w:val="21"/>
              </w:rPr>
              <w:t>审核条款：</w:t>
            </w:r>
          </w:p>
          <w:p>
            <w:pPr>
              <w:adjustRightInd w:val="0"/>
              <w:snapToGrid w:val="0"/>
              <w:spacing w:line="360" w:lineRule="auto"/>
              <w:ind w:right="105" w:rightChars="50"/>
              <w:jc w:val="left"/>
              <w:textAlignment w:val="baseline"/>
              <w:rPr>
                <w:rFonts w:hint="eastAsia" w:ascii="宋体" w:hAnsi="宋体" w:eastAsia="宋体" w:cs="宋体"/>
                <w:sz w:val="21"/>
                <w:szCs w:val="21"/>
              </w:rPr>
            </w:pPr>
            <w:r>
              <w:rPr>
                <w:rFonts w:hint="eastAsia" w:ascii="宋体" w:hAnsi="宋体" w:eastAsia="宋体" w:cs="宋体"/>
                <w:sz w:val="21"/>
                <w:szCs w:val="21"/>
              </w:rPr>
              <w:t>EMS: 5.3组织的岗位、职责和权限、6.2.1环境目标、6.2.2实现环境目标措施的策划、7.2能力、7.3意识、7.5.1形成文件的信息总则、7.5.2形成文件的信息的创建和更新、7.5.3形成文件的信息的控制，6.1.2环境因素、6.1.3合规义务、6.1.4措施的策划、8.1运行策划和控制、8.2应急准备和响应、9.1监视、测量、分析和评价（9.1.1总则、9.1.2合规性评价）、9.2 内部审核、10.2不合格和纠正措施</w:t>
            </w:r>
          </w:p>
        </w:tc>
        <w:tc>
          <w:tcPr>
            <w:tcW w:w="1585"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组织的岗位、职责和权限</w:t>
            </w:r>
          </w:p>
        </w:tc>
        <w:tc>
          <w:tcPr>
            <w:tcW w:w="1311" w:type="dxa"/>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5.3</w:t>
            </w:r>
          </w:p>
        </w:tc>
        <w:tc>
          <w:tcPr>
            <w:tcW w:w="10004" w:type="dxa"/>
          </w:tcPr>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部门负责人：</w:t>
            </w:r>
            <w:r>
              <w:rPr>
                <w:rFonts w:hint="eastAsia" w:ascii="宋体" w:hAnsi="宋体" w:eastAsia="宋体" w:cs="宋体"/>
                <w:sz w:val="21"/>
                <w:szCs w:val="21"/>
                <w:lang w:val="en-US" w:eastAsia="zh-CN"/>
              </w:rPr>
              <w:t>梁春燕</w:t>
            </w:r>
            <w:r>
              <w:rPr>
                <w:rFonts w:hint="eastAsia" w:ascii="宋体" w:hAnsi="宋体" w:eastAsia="宋体" w:cs="宋体"/>
                <w:color w:val="000000" w:themeColor="text1"/>
                <w:sz w:val="21"/>
                <w:szCs w:val="21"/>
              </w:rPr>
              <w:t xml:space="preserve"> </w:t>
            </w:r>
          </w:p>
          <w:p>
            <w:pPr>
              <w:spacing w:line="360" w:lineRule="auto"/>
              <w:ind w:firstLine="420" w:firstLineChars="20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询问主要职责：</w:t>
            </w:r>
            <w:r>
              <w:rPr>
                <w:rFonts w:hint="eastAsia" w:ascii="宋体" w:hAnsi="宋体" w:eastAsia="宋体" w:cs="宋体"/>
                <w:sz w:val="21"/>
                <w:szCs w:val="21"/>
              </w:rPr>
              <w:t>具体负责环境管理体系的建立与实施；组织环境因素识别与评价，确定重要环境因素；组织环境管理体系内审及各种评审；负责获取、识别和更新适用的环境法律法规及其他要求</w:t>
            </w:r>
            <w:r>
              <w:rPr>
                <w:rFonts w:hint="eastAsia" w:ascii="宋体" w:hAnsi="宋体" w:cs="宋体"/>
                <w:sz w:val="21"/>
                <w:szCs w:val="21"/>
                <w:lang w:val="en-US" w:eastAsia="zh-CN"/>
              </w:rPr>
              <w:t>和</w:t>
            </w:r>
            <w:r>
              <w:rPr>
                <w:rFonts w:hint="eastAsia" w:ascii="宋体" w:hAnsi="宋体" w:eastAsia="宋体" w:cs="宋体"/>
                <w:sz w:val="21"/>
                <w:szCs w:val="21"/>
              </w:rPr>
              <w:t>评价</w:t>
            </w:r>
            <w:r>
              <w:rPr>
                <w:rFonts w:hint="eastAsia" w:ascii="宋体" w:hAnsi="宋体" w:cs="宋体"/>
                <w:sz w:val="21"/>
                <w:szCs w:val="21"/>
                <w:lang w:eastAsia="zh-CN"/>
              </w:rPr>
              <w:t>；</w:t>
            </w:r>
            <w:r>
              <w:rPr>
                <w:rFonts w:hint="eastAsia" w:ascii="宋体" w:hAnsi="宋体" w:eastAsia="宋体" w:cs="宋体"/>
                <w:sz w:val="21"/>
                <w:szCs w:val="21"/>
              </w:rPr>
              <w:t>组织制定环境目标、指标和方案，并对完成情况进行监督检查；负责内、外部环境信息交流；负责环境管理体系运行的监督检查，对纠正预措施和预防措施跟踪验证</w:t>
            </w:r>
            <w:r>
              <w:rPr>
                <w:rFonts w:hint="eastAsia" w:ascii="宋体" w:hAnsi="宋体" w:cs="宋体"/>
                <w:sz w:val="21"/>
                <w:szCs w:val="21"/>
                <w:lang w:val="en-US" w:eastAsia="zh-CN"/>
              </w:rPr>
              <w:t>等。</w:t>
            </w:r>
          </w:p>
          <w:p>
            <w:pPr>
              <w:spacing w:line="360" w:lineRule="auto"/>
              <w:rPr>
                <w:rFonts w:hint="eastAsia" w:ascii="宋体" w:hAnsi="宋体" w:eastAsia="宋体" w:cs="宋体"/>
                <w:sz w:val="21"/>
                <w:szCs w:val="21"/>
              </w:rPr>
            </w:pPr>
            <w:r>
              <w:rPr>
                <w:rFonts w:hint="eastAsia" w:ascii="宋体" w:hAnsi="宋体" w:eastAsia="宋体" w:cs="宋体"/>
                <w:color w:val="000000" w:themeColor="text1"/>
                <w:sz w:val="21"/>
                <w:szCs w:val="21"/>
                <w:lang w:bidi="ar"/>
              </w:rPr>
              <w:t>部门职责清晰、明确。办公室负责人能基本阐述本部门的主要职责。</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tcPr>
          <w:p>
            <w:pPr>
              <w:spacing w:line="360" w:lineRule="auto"/>
              <w:ind w:firstLine="210" w:firstLineChars="100"/>
              <w:rPr>
                <w:rFonts w:hint="eastAsia" w:ascii="宋体" w:hAnsi="宋体" w:eastAsia="宋体" w:cs="宋体"/>
                <w:sz w:val="21"/>
                <w:szCs w:val="21"/>
              </w:rPr>
            </w:pPr>
            <w:r>
              <w:rPr>
                <w:rFonts w:hint="eastAsia" w:ascii="宋体" w:hAnsi="宋体"/>
                <w:kern w:val="0"/>
                <w:sz w:val="21"/>
                <w:szCs w:val="21"/>
              </w:rPr>
              <w:t>环境目标</w:t>
            </w:r>
          </w:p>
        </w:tc>
        <w:tc>
          <w:tcPr>
            <w:tcW w:w="1311" w:type="dxa"/>
          </w:tcPr>
          <w:p>
            <w:pPr>
              <w:spacing w:line="360" w:lineRule="auto"/>
              <w:ind w:firstLine="210" w:firstLineChars="100"/>
              <w:rPr>
                <w:rFonts w:hint="eastAsia" w:ascii="宋体" w:hAnsi="宋体" w:eastAsia="宋体" w:cs="宋体"/>
                <w:sz w:val="21"/>
                <w:szCs w:val="21"/>
              </w:rPr>
            </w:pPr>
            <w:r>
              <w:rPr>
                <w:rFonts w:hint="eastAsia" w:ascii="宋体" w:hAnsi="宋体"/>
                <w:kern w:val="0"/>
                <w:sz w:val="21"/>
                <w:szCs w:val="21"/>
              </w:rPr>
              <w:t>6.2</w:t>
            </w:r>
          </w:p>
        </w:tc>
        <w:tc>
          <w:tcPr>
            <w:tcW w:w="1000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查到公司的环境目标：</w:t>
            </w:r>
          </w:p>
          <w:p>
            <w:pPr>
              <w:autoSpaceDE w:val="0"/>
              <w:autoSpaceDN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1)无重大环境污染事故；</w:t>
            </w:r>
          </w:p>
          <w:p>
            <w:pPr>
              <w:autoSpaceDE w:val="0"/>
              <w:autoSpaceDN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2)火灾事故为零；</w:t>
            </w:r>
          </w:p>
          <w:p>
            <w:pPr>
              <w:autoSpaceDE w:val="0"/>
              <w:autoSpaceDN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3)环境影响投诉次数为零；</w:t>
            </w:r>
          </w:p>
          <w:p>
            <w:pPr>
              <w:autoSpaceDE w:val="0"/>
              <w:autoSpaceDN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4）固体废弃物的分类处理率为100%。</w:t>
            </w:r>
          </w:p>
          <w:p>
            <w:pPr>
              <w:autoSpaceDE w:val="0"/>
              <w:autoSpaceDN w:val="0"/>
              <w:spacing w:line="360" w:lineRule="auto"/>
              <w:rPr>
                <w:rFonts w:hint="eastAsia"/>
                <w:lang w:eastAsia="zh-CN"/>
              </w:rPr>
            </w:pPr>
            <w:r>
              <w:rPr>
                <w:rFonts w:hint="eastAsia" w:ascii="宋体" w:hAnsi="宋体" w:eastAsia="宋体" w:cs="宋体"/>
                <w:sz w:val="21"/>
                <w:szCs w:val="21"/>
              </w:rPr>
              <w:t>查办公室环境目标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经</w:t>
            </w:r>
            <w:r>
              <w:rPr>
                <w:rFonts w:hint="eastAsia" w:ascii="宋体" w:hAnsi="宋体" w:eastAsia="宋体" w:cs="宋体"/>
                <w:sz w:val="21"/>
                <w:szCs w:val="21"/>
              </w:rPr>
              <w:t>20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30</w:t>
            </w:r>
            <w:r>
              <w:rPr>
                <w:rFonts w:hint="eastAsia" w:ascii="宋体" w:hAnsi="宋体" w:eastAsia="宋体" w:cs="宋体"/>
                <w:sz w:val="21"/>
                <w:szCs w:val="21"/>
              </w:rPr>
              <w:t>日考核</w:t>
            </w:r>
            <w:r>
              <w:rPr>
                <w:rFonts w:hint="eastAsia" w:ascii="宋体" w:hAnsi="宋体" w:eastAsia="宋体" w:cs="宋体"/>
                <w:sz w:val="21"/>
                <w:szCs w:val="21"/>
                <w:lang w:val="en-US" w:eastAsia="zh-CN"/>
              </w:rPr>
              <w:t>已</w:t>
            </w:r>
            <w:r>
              <w:rPr>
                <w:rFonts w:hint="eastAsia" w:ascii="宋体" w:hAnsi="宋体" w:eastAsia="宋体" w:cs="宋体"/>
                <w:sz w:val="21"/>
                <w:szCs w:val="21"/>
              </w:rPr>
              <w:t>达标完成</w:t>
            </w:r>
            <w:r>
              <w:rPr>
                <w:rFonts w:hint="eastAsia" w:ascii="宋体" w:hAnsi="宋体" w:eastAsia="宋体" w:cs="宋体"/>
                <w:sz w:val="21"/>
                <w:szCs w:val="21"/>
                <w:lang w:eastAsia="zh-CN"/>
              </w:rPr>
              <w:t>，</w:t>
            </w:r>
            <w:r>
              <w:rPr>
                <w:rFonts w:hint="eastAsia" w:ascii="宋体" w:hAnsi="宋体" w:eastAsia="宋体" w:cs="宋体"/>
                <w:sz w:val="21"/>
                <w:szCs w:val="21"/>
              </w:rPr>
              <w:t>考核人：</w:t>
            </w:r>
            <w:r>
              <w:rPr>
                <w:rFonts w:hint="eastAsia" w:ascii="宋体" w:hAnsi="宋体" w:eastAsia="宋体" w:cs="宋体"/>
                <w:sz w:val="21"/>
                <w:szCs w:val="21"/>
                <w:lang w:val="en-US" w:eastAsia="zh-CN"/>
              </w:rPr>
              <w:t>鲁刚</w:t>
            </w:r>
            <w:r>
              <w:rPr>
                <w:rFonts w:hint="eastAsia" w:ascii="宋体" w:hAnsi="宋体" w:eastAsia="宋体" w:cs="宋体"/>
                <w:sz w:val="21"/>
                <w:szCs w:val="21"/>
              </w:rPr>
              <w:t>。</w:t>
            </w:r>
          </w:p>
          <w:tbl>
            <w:tblPr>
              <w:tblStyle w:val="7"/>
              <w:tblW w:w="89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3125"/>
              <w:gridCol w:w="3690"/>
              <w:gridCol w:w="11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blHeader/>
                <w:jc w:val="center"/>
              </w:trPr>
              <w:tc>
                <w:tcPr>
                  <w:tcW w:w="934" w:type="dxa"/>
                  <w:tcBorders>
                    <w:top w:val="single" w:color="auto" w:sz="4" w:space="0"/>
                    <w:left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2"/>
                      <w:sz w:val="24"/>
                      <w:szCs w:val="24"/>
                      <w:lang w:val="en-US" w:eastAsia="zh-CN" w:bidi="ar-SA"/>
                    </w:rPr>
                  </w:pPr>
                  <w:r>
                    <w:rPr>
                      <w:rFonts w:hint="eastAsia" w:ascii="宋体" w:hAnsi="宋体"/>
                      <w:bCs/>
                      <w:color w:val="000000"/>
                      <w:sz w:val="24"/>
                    </w:rPr>
                    <w:t>部 门</w:t>
                  </w:r>
                </w:p>
              </w:tc>
              <w:tc>
                <w:tcPr>
                  <w:tcW w:w="312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2"/>
                      <w:sz w:val="24"/>
                      <w:szCs w:val="24"/>
                      <w:lang w:val="en-US" w:eastAsia="zh-CN" w:bidi="ar-SA"/>
                    </w:rPr>
                  </w:pPr>
                  <w:r>
                    <w:rPr>
                      <w:rFonts w:hint="eastAsia" w:ascii="宋体" w:hAnsi="宋体"/>
                      <w:bCs/>
                      <w:color w:val="000000"/>
                      <w:sz w:val="24"/>
                    </w:rPr>
                    <w:t>目            标</w:t>
                  </w:r>
                </w:p>
              </w:tc>
              <w:tc>
                <w:tcPr>
                  <w:tcW w:w="369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2"/>
                      <w:sz w:val="24"/>
                      <w:szCs w:val="24"/>
                      <w:lang w:val="en-US" w:eastAsia="zh-CN" w:bidi="ar-SA"/>
                    </w:rPr>
                  </w:pPr>
                  <w:r>
                    <w:rPr>
                      <w:rFonts w:hint="eastAsia" w:ascii="宋体" w:hAnsi="宋体"/>
                      <w:bCs/>
                      <w:color w:val="000000"/>
                      <w:sz w:val="24"/>
                    </w:rPr>
                    <w:t>计    算    方    法</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2"/>
                      <w:sz w:val="24"/>
                      <w:lang w:val="en-US" w:eastAsia="zh-CN" w:bidi="ar-SA"/>
                    </w:rPr>
                  </w:pPr>
                  <w:r>
                    <w:rPr>
                      <w:rFonts w:hint="eastAsia" w:ascii="宋体" w:hAnsi="宋体"/>
                      <w:bCs/>
                      <w:color w:val="000000"/>
                      <w:sz w:val="24"/>
                    </w:rPr>
                    <w:t>统计结果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934" w:type="dxa"/>
                  <w:vMerge w:val="restart"/>
                  <w:tcBorders>
                    <w:top w:val="single" w:color="auto" w:sz="4" w:space="0"/>
                    <w:left w:val="single" w:color="auto" w:sz="4" w:space="0"/>
                    <w:right w:val="single" w:color="auto" w:sz="4" w:space="0"/>
                  </w:tcBorders>
                  <w:vAlign w:val="center"/>
                </w:tcPr>
                <w:p>
                  <w:pPr>
                    <w:spacing w:line="360" w:lineRule="auto"/>
                    <w:rPr>
                      <w:rFonts w:ascii="宋体" w:hAnsi="宋体"/>
                      <w:color w:val="000000"/>
                      <w:sz w:val="22"/>
                      <w:szCs w:val="22"/>
                    </w:rPr>
                  </w:pPr>
                  <w:r>
                    <w:rPr>
                      <w:rFonts w:hint="eastAsia" w:ascii="宋体" w:hAnsi="宋体"/>
                      <w:color w:val="000000"/>
                      <w:sz w:val="22"/>
                      <w:szCs w:val="22"/>
                    </w:rPr>
                    <w:t>办公室</w:t>
                  </w:r>
                </w:p>
              </w:tc>
              <w:tc>
                <w:tcPr>
                  <w:tcW w:w="3125" w:type="dxa"/>
                  <w:tcBorders>
                    <w:top w:val="single" w:color="auto" w:sz="4" w:space="0"/>
                    <w:left w:val="single" w:color="auto" w:sz="4" w:space="0"/>
                    <w:bottom w:val="single" w:color="auto" w:sz="4" w:space="0"/>
                    <w:right w:val="single" w:color="auto" w:sz="4" w:space="0"/>
                  </w:tcBorders>
                  <w:vAlign w:val="center"/>
                </w:tcPr>
                <w:p>
                  <w:pPr>
                    <w:tabs>
                      <w:tab w:val="left" w:pos="700"/>
                      <w:tab w:val="left" w:pos="2032"/>
                    </w:tabs>
                    <w:spacing w:line="360" w:lineRule="auto"/>
                    <w:rPr>
                      <w:rFonts w:ascii="宋体" w:hAnsi="宋体"/>
                      <w:color w:val="000000"/>
                      <w:sz w:val="22"/>
                      <w:szCs w:val="22"/>
                    </w:rPr>
                  </w:pPr>
                  <w:r>
                    <w:rPr>
                      <w:rFonts w:hint="eastAsia" w:ascii="宋体" w:hAnsi="宋体"/>
                      <w:color w:val="000000"/>
                      <w:sz w:val="22"/>
                      <w:szCs w:val="22"/>
                    </w:rPr>
                    <w:t>培训计划有效执行率100%</w:t>
                  </w:r>
                </w:p>
              </w:tc>
              <w:tc>
                <w:tcPr>
                  <w:tcW w:w="3690" w:type="dxa"/>
                  <w:tcBorders>
                    <w:top w:val="single" w:color="auto" w:sz="4" w:space="0"/>
                    <w:left w:val="single" w:color="auto" w:sz="4" w:space="0"/>
                    <w:bottom w:val="single" w:color="auto" w:sz="4" w:space="0"/>
                    <w:right w:val="single" w:color="auto" w:sz="4" w:space="0"/>
                  </w:tcBorders>
                  <w:vAlign w:val="center"/>
                </w:tcPr>
                <w:p>
                  <w:pPr>
                    <w:tabs>
                      <w:tab w:val="left" w:pos="2032"/>
                    </w:tabs>
                    <w:spacing w:line="360" w:lineRule="auto"/>
                    <w:rPr>
                      <w:rFonts w:ascii="宋体" w:hAnsi="宋体"/>
                      <w:color w:val="000000"/>
                      <w:sz w:val="22"/>
                      <w:szCs w:val="22"/>
                    </w:rPr>
                  </w:pPr>
                  <w:r>
                    <w:rPr>
                      <w:rFonts w:hint="eastAsia" w:ascii="宋体" w:hAnsi="宋体"/>
                      <w:color w:val="000000"/>
                      <w:sz w:val="22"/>
                      <w:szCs w:val="22"/>
                    </w:rPr>
                    <w:t>培训计划有效执行数/培训计划总数</w:t>
                  </w:r>
                </w:p>
              </w:tc>
              <w:tc>
                <w:tcPr>
                  <w:tcW w:w="1188" w:type="dxa"/>
                  <w:tcBorders>
                    <w:top w:val="single" w:color="auto" w:sz="4" w:space="0"/>
                    <w:left w:val="single" w:color="auto" w:sz="4" w:space="0"/>
                    <w:bottom w:val="single" w:color="auto" w:sz="4" w:space="0"/>
                    <w:right w:val="single" w:color="auto" w:sz="4" w:space="0"/>
                  </w:tcBorders>
                  <w:vAlign w:val="center"/>
                </w:tcPr>
                <w:p>
                  <w:pPr>
                    <w:tabs>
                      <w:tab w:val="left" w:pos="2032"/>
                    </w:tabs>
                    <w:spacing w:line="360" w:lineRule="auto"/>
                    <w:jc w:val="left"/>
                    <w:rPr>
                      <w:rFonts w:ascii="楷体_GB2312" w:hAnsi="宋体" w:eastAsia="楷体_GB2312"/>
                      <w:bCs/>
                      <w:color w:val="000000"/>
                      <w:sz w:val="24"/>
                    </w:rPr>
                  </w:pPr>
                  <w:r>
                    <w:rPr>
                      <w:rFonts w:hint="eastAsia" w:ascii="楷体_GB2312" w:hAnsi="宋体" w:eastAsia="楷体_GB2312"/>
                      <w:bCs/>
                      <w:color w:val="000000"/>
                      <w:sz w:val="24"/>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tblHeader/>
                <w:jc w:val="center"/>
              </w:trPr>
              <w:tc>
                <w:tcPr>
                  <w:tcW w:w="934" w:type="dxa"/>
                  <w:vMerge w:val="continue"/>
                  <w:tcBorders>
                    <w:left w:val="single" w:color="auto" w:sz="4" w:space="0"/>
                    <w:right w:val="single" w:color="auto" w:sz="4" w:space="0"/>
                  </w:tcBorders>
                  <w:vAlign w:val="center"/>
                </w:tcPr>
                <w:p>
                  <w:pPr>
                    <w:spacing w:line="360" w:lineRule="auto"/>
                    <w:rPr>
                      <w:rFonts w:ascii="宋体" w:hAnsi="宋体"/>
                      <w:color w:val="000000"/>
                      <w:sz w:val="22"/>
                      <w:szCs w:val="22"/>
                    </w:rPr>
                  </w:pPr>
                </w:p>
              </w:tc>
              <w:tc>
                <w:tcPr>
                  <w:tcW w:w="31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2"/>
                      <w:szCs w:val="22"/>
                    </w:rPr>
                  </w:pPr>
                  <w:r>
                    <w:rPr>
                      <w:rFonts w:hint="eastAsia" w:ascii="宋体" w:hAnsi="宋体"/>
                      <w:color w:val="000000"/>
                      <w:sz w:val="22"/>
                      <w:szCs w:val="22"/>
                    </w:rPr>
                    <w:t>固体废弃物有效处理率为100%</w:t>
                  </w:r>
                </w:p>
              </w:tc>
              <w:tc>
                <w:tcPr>
                  <w:tcW w:w="369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2"/>
                      <w:szCs w:val="22"/>
                    </w:rPr>
                  </w:pPr>
                  <w:r>
                    <w:rPr>
                      <w:rFonts w:hint="eastAsia" w:ascii="宋体" w:hAnsi="宋体"/>
                      <w:color w:val="000000"/>
                      <w:sz w:val="22"/>
                      <w:szCs w:val="22"/>
                    </w:rPr>
                    <w:t>按规定处理次数/处理总次数</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楷体_GB2312" w:hAnsi="宋体" w:eastAsia="楷体_GB2312"/>
                      <w:bCs/>
                      <w:color w:val="000000"/>
                      <w:sz w:val="24"/>
                    </w:rPr>
                  </w:pPr>
                  <w:r>
                    <w:rPr>
                      <w:rFonts w:hint="eastAsia" w:ascii="楷体_GB2312" w:hAnsi="宋体" w:eastAsia="楷体_GB2312"/>
                      <w:bCs/>
                      <w:color w:val="000000"/>
                      <w:sz w:val="24"/>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 w:hRule="atLeast"/>
                <w:tblHeader/>
                <w:jc w:val="center"/>
              </w:trPr>
              <w:tc>
                <w:tcPr>
                  <w:tcW w:w="934" w:type="dxa"/>
                  <w:vMerge w:val="continue"/>
                  <w:tcBorders>
                    <w:left w:val="single" w:color="auto" w:sz="4" w:space="0"/>
                    <w:right w:val="single" w:color="auto" w:sz="4" w:space="0"/>
                  </w:tcBorders>
                  <w:vAlign w:val="center"/>
                </w:tcPr>
                <w:p>
                  <w:pPr>
                    <w:spacing w:line="360" w:lineRule="auto"/>
                    <w:rPr>
                      <w:rFonts w:ascii="宋体" w:hAnsi="宋体"/>
                      <w:color w:val="000000"/>
                      <w:sz w:val="22"/>
                      <w:szCs w:val="22"/>
                    </w:rPr>
                  </w:pPr>
                </w:p>
              </w:tc>
              <w:tc>
                <w:tcPr>
                  <w:tcW w:w="31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2"/>
                      <w:szCs w:val="22"/>
                    </w:rPr>
                  </w:pPr>
                  <w:r>
                    <w:rPr>
                      <w:rFonts w:hint="eastAsia" w:ascii="宋体" w:hAnsi="宋体"/>
                      <w:color w:val="000000"/>
                      <w:sz w:val="22"/>
                      <w:szCs w:val="22"/>
                    </w:rPr>
                    <w:t>环保资金落实率90%以上。</w:t>
                  </w:r>
                </w:p>
              </w:tc>
              <w:tc>
                <w:tcPr>
                  <w:tcW w:w="3690" w:type="dxa"/>
                  <w:tcBorders>
                    <w:top w:val="single" w:color="auto" w:sz="4" w:space="0"/>
                    <w:left w:val="single" w:color="auto" w:sz="4" w:space="0"/>
                    <w:bottom w:val="single" w:color="auto" w:sz="4" w:space="0"/>
                    <w:right w:val="single" w:color="auto" w:sz="4" w:space="0"/>
                  </w:tcBorders>
                  <w:vAlign w:val="center"/>
                </w:tcPr>
                <w:p>
                  <w:pPr>
                    <w:tabs>
                      <w:tab w:val="left" w:pos="2032"/>
                    </w:tabs>
                    <w:spacing w:line="360" w:lineRule="auto"/>
                    <w:rPr>
                      <w:rFonts w:ascii="宋体" w:hAnsi="宋体"/>
                      <w:color w:val="000000"/>
                      <w:sz w:val="22"/>
                      <w:szCs w:val="22"/>
                    </w:rPr>
                  </w:pPr>
                  <w:r>
                    <w:rPr>
                      <w:rFonts w:hint="eastAsia" w:ascii="宋体" w:hAnsi="宋体"/>
                      <w:color w:val="000000"/>
                      <w:sz w:val="22"/>
                      <w:szCs w:val="22"/>
                    </w:rPr>
                    <w:t>环保落实资金/总需求资金</w:t>
                  </w:r>
                </w:p>
              </w:tc>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楷体_GB2312" w:hAnsi="宋体" w:eastAsia="楷体_GB2312"/>
                      <w:bCs/>
                      <w:color w:val="000000"/>
                      <w:sz w:val="24"/>
                    </w:rPr>
                  </w:pPr>
                  <w:r>
                    <w:rPr>
                      <w:rFonts w:hint="eastAsia" w:ascii="楷体_GB2312" w:hAnsi="宋体" w:eastAsia="楷体_GB2312"/>
                      <w:bCs/>
                      <w:color w:val="000000"/>
                      <w:sz w:val="24"/>
                    </w:rPr>
                    <w:t>95%</w:t>
                  </w:r>
                </w:p>
              </w:tc>
            </w:tr>
          </w:tbl>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查到公司制定的20</w:t>
            </w:r>
            <w:r>
              <w:rPr>
                <w:rFonts w:hint="eastAsia" w:ascii="宋体" w:hAnsi="宋体" w:eastAsia="宋体" w:cs="宋体"/>
                <w:sz w:val="21"/>
                <w:szCs w:val="21"/>
                <w:lang w:val="en-US" w:eastAsia="zh-CN"/>
              </w:rPr>
              <w:t>20</w:t>
            </w:r>
            <w:r>
              <w:rPr>
                <w:rFonts w:hint="eastAsia" w:ascii="宋体" w:hAnsi="宋体" w:eastAsia="宋体" w:cs="宋体"/>
                <w:sz w:val="21"/>
                <w:szCs w:val="21"/>
              </w:rPr>
              <w:t>年度“环境管理方案”，主要有加强化学品管理，防止潜在泄露事故；加强固体废物管理；降低设备噪声；火灾事故的发生等管理方案。</w:t>
            </w:r>
          </w:p>
          <w:p>
            <w:pPr>
              <w:spacing w:line="36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主要措施：加强电器设备的维护和保养；</w:t>
            </w:r>
            <w:r>
              <w:rPr>
                <w:rFonts w:hint="eastAsia" w:ascii="宋体" w:hAnsi="宋体" w:eastAsia="宋体" w:cs="宋体"/>
                <w:sz w:val="21"/>
                <w:szCs w:val="21"/>
                <w:lang w:val="en-US" w:eastAsia="zh-CN"/>
              </w:rPr>
              <w:t>增加消防设施</w:t>
            </w:r>
            <w:r>
              <w:rPr>
                <w:rFonts w:hint="eastAsia" w:ascii="宋体" w:hAnsi="宋体" w:eastAsia="宋体" w:cs="宋体"/>
                <w:sz w:val="21"/>
                <w:szCs w:val="21"/>
              </w:rPr>
              <w:t>，杜绝火灾隐患；确保厂区应急通道畅通；确保消防设施完好；加强火灾安全意识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预计费用：10000万元。</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另外抽查降低设备噪声的管理方案、加强固体废物管理的管理方案，制定了管理控制措施，明确的责任人、费用和完成期限，经过审批。</w:t>
            </w:r>
          </w:p>
          <w:p>
            <w:pPr>
              <w:spacing w:line="360" w:lineRule="auto"/>
              <w:rPr>
                <w:rFonts w:hint="eastAsia" w:ascii="宋体" w:hAnsi="宋体" w:eastAsia="宋体" w:cs="宋体"/>
                <w:color w:val="000000" w:themeColor="text1"/>
                <w:sz w:val="21"/>
                <w:szCs w:val="21"/>
                <w:lang w:bidi="ar"/>
              </w:rPr>
            </w:pPr>
            <w:r>
              <w:rPr>
                <w:rFonts w:hint="eastAsia" w:ascii="宋体" w:hAnsi="宋体" w:eastAsia="宋体" w:cs="宋体"/>
                <w:sz w:val="21"/>
                <w:szCs w:val="21"/>
              </w:rPr>
              <w:t>管理方案由责任部门组织实施，目前在实施中，部分已完成。</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pPr>
              <w:snapToGrid w:val="0"/>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 环境因素</w:t>
            </w:r>
          </w:p>
        </w:tc>
        <w:tc>
          <w:tcPr>
            <w:tcW w:w="1311" w:type="dxa"/>
            <w:vAlign w:val="top"/>
          </w:tcPr>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6.1.2 </w:t>
            </w:r>
          </w:p>
          <w:p>
            <w:pPr>
              <w:spacing w:line="360" w:lineRule="auto"/>
              <w:rPr>
                <w:rFonts w:hint="eastAsia" w:ascii="宋体" w:hAnsi="宋体" w:eastAsia="宋体" w:cs="宋体"/>
                <w:kern w:val="2"/>
                <w:sz w:val="21"/>
                <w:szCs w:val="21"/>
                <w:lang w:val="en-US" w:eastAsia="zh-CN" w:bidi="ar-SA"/>
              </w:rPr>
            </w:pPr>
          </w:p>
        </w:tc>
        <w:tc>
          <w:tcPr>
            <w:tcW w:w="10004" w:type="dxa"/>
            <w:vAlign w:val="top"/>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办公室作为环境管理体系的推进</w:t>
            </w:r>
            <w:r>
              <w:rPr>
                <w:rFonts w:hint="eastAsia" w:ascii="宋体" w:hAnsi="宋体" w:eastAsia="宋体" w:cs="宋体"/>
                <w:sz w:val="21"/>
                <w:szCs w:val="21"/>
              </w:rPr>
              <w:t>部门，主要负责识别评价相关的环境因素，查有：《环境因素识别与评价控制程序》。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根据各生产、办公、销售过程环节识别，由办公室统一汇总。</w:t>
            </w:r>
          </w:p>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提供了“环境因素识别评价汇总表”，识别了体系覆盖的各过程的环境因素，如水电消耗、包装物消耗、废旧办公设备排放、废水排放、生活垃圾排放、运输汽车尾气扬尘排放、废气排放、废水排放、设备噪声的排放等环境因素，但是识别不够细致、充分，现场交流。 </w:t>
            </w:r>
          </w:p>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现场提供了《重要环境因素清单》，通过评价，公司共识别出重要环境因素</w:t>
            </w:r>
            <w:r>
              <w:rPr>
                <w:rFonts w:hint="eastAsia" w:ascii="宋体" w:hAnsi="宋体" w:eastAsia="宋体" w:cs="宋体"/>
                <w:sz w:val="21"/>
                <w:szCs w:val="21"/>
                <w:lang w:val="en-US" w:eastAsia="zh-CN"/>
              </w:rPr>
              <w:t>4</w:t>
            </w:r>
            <w:r>
              <w:rPr>
                <w:rFonts w:hint="eastAsia" w:ascii="宋体" w:hAnsi="宋体" w:eastAsia="宋体" w:cs="宋体"/>
                <w:sz w:val="21"/>
                <w:szCs w:val="21"/>
              </w:rPr>
              <w:t>项。</w:t>
            </w:r>
          </w:p>
          <w:p>
            <w:pPr>
              <w:tabs>
                <w:tab w:val="left" w:pos="6597"/>
              </w:tabs>
              <w:spacing w:line="360" w:lineRule="auto"/>
              <w:rPr>
                <w:rFonts w:hint="eastAsia" w:ascii="宋体" w:hAnsi="宋体" w:eastAsia="宋体" w:cs="宋体"/>
                <w:sz w:val="21"/>
                <w:szCs w:val="21"/>
              </w:rPr>
            </w:pPr>
            <w:r>
              <w:rPr>
                <w:rFonts w:hint="eastAsia" w:ascii="宋体" w:hAnsi="宋体" w:eastAsia="宋体" w:cs="宋体"/>
                <w:sz w:val="21"/>
                <w:szCs w:val="21"/>
              </w:rPr>
              <w:t>查办公室环境因素识别情况：识别了办公过程的如下环境因素：办公过程中的水电消耗、纸张使用、废办公设备排放、生活垃圾排放、火灾等。</w:t>
            </w:r>
          </w:p>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涉及办公室的重要环境因素有2项：办公活动过程中的火灾及固废排放。</w:t>
            </w:r>
          </w:p>
          <w:p>
            <w:pPr>
              <w:tabs>
                <w:tab w:val="left" w:pos="6597"/>
              </w:tabs>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对于重要环境因素的控制，通过日常检查、目标、管理方案、运行控制、应急预案等控制方式，各部门的运行控制情况见各部门审核记录。</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合规义务</w:t>
            </w:r>
          </w:p>
        </w:tc>
        <w:tc>
          <w:tcPr>
            <w:tcW w:w="1311" w:type="dxa"/>
            <w:vAlign w:val="top"/>
          </w:tcPr>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sz w:val="21"/>
                <w:szCs w:val="21"/>
              </w:rPr>
              <w:t>6.1.3</w:t>
            </w:r>
          </w:p>
        </w:tc>
        <w:tc>
          <w:tcPr>
            <w:tcW w:w="10004" w:type="dxa"/>
            <w:vAlign w:val="center"/>
          </w:tcPr>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建立实施了《法律法规及其他要求控制程序》。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了“法律法规和其他要求清单”，包含了69个环境法律法规、标准和其他要求。如中华人民共和国环境保护法、中华人民共和国消防法、中华人民共和国环境影响评价法、中华人民共和国水污染防治法、中华人民共和国噪声污染防治法、陕西省消防条例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办公室根据需要随时网上获取、识别更新，并通过培训、宣传、会议等形式传达给员工和相关方，各部门如有需要随时到办公室查阅。</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措施的策划</w:t>
            </w:r>
          </w:p>
        </w:tc>
        <w:tc>
          <w:tcPr>
            <w:tcW w:w="1311" w:type="dxa"/>
            <w:vAlign w:val="top"/>
          </w:tcPr>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6.1.4</w:t>
            </w: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公司根据环境因素评价结果，制定出《重要环境因素清单》，清单内明确了控制措施计划，通过具体的措施进行有效控制：目标、管理方案、管理制度运行控制、应急预案、检查、培训。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制定了《法律、法规和其他要求控制程序》、《合规性评价控制程序》，每年对公司适用的合规义务进行识别更新并定期评价、检查。</w:t>
            </w:r>
          </w:p>
          <w:p>
            <w:pPr>
              <w:tabs>
                <w:tab w:val="left" w:pos="6597"/>
              </w:tabs>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经组织评价，组织策划的措施基本能够满足风险和机遇应对需要，与潜在影响相适应，基本满足标准要求。</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pStyle w:val="2"/>
              <w:rPr>
                <w:rFonts w:hint="eastAsia" w:ascii="宋体" w:hAnsi="宋体" w:eastAsia="宋体" w:cs="宋体"/>
                <w:sz w:val="21"/>
                <w:szCs w:val="21"/>
              </w:rPr>
            </w:pPr>
          </w:p>
          <w:p>
            <w:pPr>
              <w:pStyle w:val="3"/>
              <w:rPr>
                <w:rFonts w:hint="eastAsia"/>
              </w:rPr>
            </w:pP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能力、意识</w:t>
            </w:r>
          </w:p>
        </w:tc>
        <w:tc>
          <w:tcPr>
            <w:tcW w:w="1311" w:type="dxa"/>
          </w:tcPr>
          <w:p>
            <w:pPr>
              <w:spacing w:line="360" w:lineRule="auto"/>
              <w:rPr>
                <w:rFonts w:hint="eastAsia" w:ascii="宋体" w:hAnsi="宋体" w:eastAsia="宋体" w:cs="宋体"/>
                <w:sz w:val="21"/>
                <w:szCs w:val="21"/>
              </w:rPr>
            </w:pPr>
          </w:p>
          <w:p>
            <w:pPr>
              <w:spacing w:line="360" w:lineRule="auto"/>
              <w:ind w:firstLine="210" w:firstLineChars="100"/>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7.2</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7.3</w:t>
            </w:r>
          </w:p>
        </w:tc>
        <w:tc>
          <w:tcPr>
            <w:tcW w:w="10004" w:type="dxa"/>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w:t>
            </w:r>
            <w:r>
              <w:rPr>
                <w:rFonts w:hint="eastAsia" w:ascii="宋体" w:hAnsi="宋体" w:eastAsia="宋体" w:cs="宋体"/>
                <w:sz w:val="21"/>
                <w:szCs w:val="21"/>
              </w:rPr>
              <w:t>制定了《岗位人员任职要求》，对各部门领导层、生产部、采购部、质量部、设备科、技术部负责人岗位能力工作权限与内容、任职资格（经验知识个人素质、专业技能）的等作出了规定。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查看《员工任职能力评价表》，其中包括：总经理、管代、各部门负责人等。能够满足公司环境管理体系运行以及体系覆盖产品生产和服务的需求。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查看20</w:t>
            </w:r>
            <w:r>
              <w:rPr>
                <w:rFonts w:hint="eastAsia" w:ascii="宋体" w:hAnsi="宋体" w:cs="宋体"/>
                <w:sz w:val="21"/>
                <w:szCs w:val="21"/>
                <w:lang w:val="en-US" w:eastAsia="zh-CN"/>
              </w:rPr>
              <w:t>20</w:t>
            </w:r>
            <w:r>
              <w:rPr>
                <w:rFonts w:hint="eastAsia" w:ascii="宋体" w:hAnsi="宋体" w:eastAsia="宋体" w:cs="宋体"/>
                <w:sz w:val="21"/>
                <w:szCs w:val="21"/>
              </w:rPr>
              <w:t>年培训计划表，内容包括：环境</w:t>
            </w:r>
            <w:r>
              <w:rPr>
                <w:rFonts w:hint="eastAsia" w:ascii="宋体" w:hAnsi="宋体" w:cs="宋体"/>
                <w:sz w:val="21"/>
                <w:szCs w:val="21"/>
                <w:lang w:val="en-US" w:eastAsia="zh-CN"/>
              </w:rPr>
              <w:t>法规</w:t>
            </w:r>
            <w:r>
              <w:rPr>
                <w:rFonts w:hint="eastAsia" w:ascii="宋体" w:hAnsi="宋体" w:eastAsia="宋体" w:cs="宋体"/>
                <w:sz w:val="21"/>
                <w:szCs w:val="21"/>
              </w:rPr>
              <w:t>培训、GB/T24001标准各条款详解、环境因素识别、管理方针、目标及管理方案等培训。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抽1：20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4</w:t>
            </w:r>
            <w:r>
              <w:rPr>
                <w:rFonts w:hint="eastAsia" w:ascii="宋体" w:hAnsi="宋体" w:eastAsia="宋体" w:cs="宋体"/>
                <w:sz w:val="21"/>
                <w:szCs w:val="21"/>
              </w:rPr>
              <w:t>月5日在会议室进行了GB/T24001-2016标准及环境管理体系知识培训，培训效果评价，达到预期效果，评价人：</w:t>
            </w:r>
            <w:r>
              <w:rPr>
                <w:rFonts w:hint="eastAsia" w:ascii="宋体" w:hAnsi="宋体" w:eastAsia="宋体" w:cs="宋体"/>
                <w:sz w:val="21"/>
                <w:szCs w:val="21"/>
                <w:lang w:val="en-US" w:eastAsia="zh-CN"/>
              </w:rPr>
              <w:t>黎张礼</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抽2：20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5</w:t>
            </w:r>
            <w:r>
              <w:rPr>
                <w:rFonts w:hint="eastAsia" w:ascii="宋体" w:hAnsi="宋体" w:eastAsia="宋体" w:cs="宋体"/>
                <w:sz w:val="21"/>
                <w:szCs w:val="21"/>
              </w:rPr>
              <w:t>月15日</w:t>
            </w:r>
            <w:r>
              <w:rPr>
                <w:rFonts w:hint="eastAsia" w:ascii="宋体" w:hAnsi="宋体" w:cs="宋体"/>
                <w:sz w:val="21"/>
                <w:szCs w:val="21"/>
                <w:lang w:val="en-US" w:eastAsia="zh-CN"/>
              </w:rPr>
              <w:t>灭火器的使用、</w:t>
            </w:r>
            <w:r>
              <w:rPr>
                <w:rFonts w:hint="eastAsia" w:ascii="宋体" w:hAnsi="宋体" w:eastAsia="宋体" w:cs="宋体"/>
                <w:sz w:val="21"/>
                <w:szCs w:val="21"/>
              </w:rPr>
              <w:t>消防安全知识培训，</w:t>
            </w:r>
            <w:r>
              <w:rPr>
                <w:rFonts w:hint="eastAsia" w:ascii="宋体" w:hAnsi="宋体" w:eastAsia="宋体" w:cs="宋体"/>
                <w:color w:val="000000" w:themeColor="text1"/>
                <w:sz w:val="21"/>
                <w:szCs w:val="21"/>
              </w:rPr>
              <w:t>培训取得预期效果，</w:t>
            </w:r>
            <w:r>
              <w:rPr>
                <w:rFonts w:hint="eastAsia" w:ascii="宋体" w:hAnsi="宋体" w:eastAsia="宋体" w:cs="宋体"/>
                <w:sz w:val="21"/>
                <w:szCs w:val="21"/>
              </w:rPr>
              <w:t>评价人：</w:t>
            </w:r>
            <w:r>
              <w:rPr>
                <w:rFonts w:hint="eastAsia" w:ascii="宋体" w:hAnsi="宋体" w:eastAsia="宋体" w:cs="宋体"/>
                <w:sz w:val="21"/>
                <w:szCs w:val="21"/>
                <w:lang w:val="en-US" w:eastAsia="zh-CN"/>
              </w:rPr>
              <w:t>黎张礼</w:t>
            </w:r>
            <w:r>
              <w:rPr>
                <w:rFonts w:hint="eastAsia" w:ascii="宋体" w:hAnsi="宋体" w:eastAsia="宋体" w:cs="宋体"/>
                <w:sz w:val="21"/>
                <w:szCs w:val="21"/>
              </w:rPr>
              <w:t>。</w:t>
            </w:r>
          </w:p>
          <w:p>
            <w:pPr>
              <w:spacing w:line="360" w:lineRule="auto"/>
              <w:ind w:firstLine="420" w:firstLineChars="200"/>
              <w:rPr>
                <w:rFonts w:hint="eastAsia"/>
              </w:rPr>
            </w:pPr>
            <w:r>
              <w:rPr>
                <w:rFonts w:hint="eastAsia" w:ascii="宋体" w:hAnsi="宋体" w:eastAsia="宋体" w:cs="宋体"/>
                <w:sz w:val="21"/>
                <w:szCs w:val="21"/>
              </w:rPr>
              <w:t>抽3、20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7</w:t>
            </w:r>
            <w:r>
              <w:rPr>
                <w:rFonts w:hint="eastAsia" w:ascii="宋体" w:hAnsi="宋体" w:eastAsia="宋体" w:cs="宋体"/>
                <w:sz w:val="21"/>
                <w:szCs w:val="21"/>
              </w:rPr>
              <w:t>月6日，</w:t>
            </w:r>
            <w:r>
              <w:rPr>
                <w:rFonts w:hint="eastAsia" w:ascii="宋体" w:hAnsi="宋体" w:eastAsia="宋体" w:cs="宋体"/>
                <w:color w:val="000000" w:themeColor="text1"/>
                <w:sz w:val="21"/>
                <w:szCs w:val="21"/>
              </w:rPr>
              <w:t>环境法律法规培训记录。培训取得预期效果，</w:t>
            </w:r>
            <w:r>
              <w:rPr>
                <w:rFonts w:hint="eastAsia" w:ascii="宋体" w:hAnsi="宋体" w:eastAsia="宋体" w:cs="宋体"/>
                <w:sz w:val="21"/>
                <w:szCs w:val="21"/>
              </w:rPr>
              <w:t>评价人：</w:t>
            </w:r>
            <w:r>
              <w:rPr>
                <w:rFonts w:hint="eastAsia" w:ascii="宋体" w:hAnsi="宋体" w:eastAsia="宋体" w:cs="宋体"/>
                <w:sz w:val="21"/>
                <w:szCs w:val="21"/>
                <w:lang w:val="en-US" w:eastAsia="zh-CN"/>
              </w:rPr>
              <w:t>黎张礼</w:t>
            </w:r>
            <w:r>
              <w:rPr>
                <w:rFonts w:hint="eastAsia" w:ascii="宋体" w:hAnsi="宋体" w:eastAsia="宋体" w:cs="宋体"/>
                <w:sz w:val="21"/>
                <w:szCs w:val="21"/>
              </w:rPr>
              <w:t>。</w:t>
            </w:r>
          </w:p>
          <w:p>
            <w:pPr>
              <w:spacing w:line="360" w:lineRule="auto"/>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提供：</w:t>
            </w:r>
            <w:r>
              <w:rPr>
                <w:rFonts w:hint="eastAsia" w:ascii="宋体" w:hAnsi="宋体" w:eastAsia="宋体" w:cs="宋体"/>
                <w:color w:val="000000" w:themeColor="text1"/>
                <w:sz w:val="21"/>
                <w:szCs w:val="21"/>
                <w:lang w:val="en-US" w:eastAsia="zh-CN"/>
              </w:rPr>
              <w:t>鲁刚</w:t>
            </w:r>
            <w:r>
              <w:rPr>
                <w:rFonts w:hint="eastAsia" w:ascii="宋体" w:hAnsi="宋体" w:eastAsia="宋体" w:cs="宋体"/>
                <w:color w:val="000000" w:themeColor="text1"/>
                <w:sz w:val="21"/>
                <w:szCs w:val="21"/>
              </w:rPr>
              <w:t>，编号610114198205251019</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宝鸡市质量技术监督局</w:t>
            </w:r>
            <w:r>
              <w:rPr>
                <w:rFonts w:hint="eastAsia" w:ascii="宋体" w:hAnsi="宋体" w:eastAsia="宋体" w:cs="宋体"/>
                <w:color w:val="000000" w:themeColor="text1"/>
                <w:sz w:val="21"/>
                <w:szCs w:val="21"/>
                <w:lang w:val="en-US" w:eastAsia="zh-CN"/>
              </w:rPr>
              <w:t>颁发</w:t>
            </w:r>
            <w:r>
              <w:rPr>
                <w:rFonts w:hint="eastAsia" w:ascii="宋体" w:hAnsi="宋体" w:eastAsia="宋体" w:cs="宋体"/>
                <w:color w:val="000000" w:themeColor="text1"/>
                <w:sz w:val="21"/>
                <w:szCs w:val="21"/>
              </w:rPr>
              <w:t>起重机工</w:t>
            </w:r>
            <w:r>
              <w:rPr>
                <w:rFonts w:hint="eastAsia" w:ascii="宋体" w:hAnsi="宋体" w:cs="宋体"/>
                <w:color w:val="000000" w:themeColor="text1"/>
                <w:sz w:val="21"/>
                <w:szCs w:val="21"/>
                <w:lang w:val="en-US" w:eastAsia="zh-CN"/>
              </w:rPr>
              <w:t>证</w:t>
            </w:r>
            <w:r>
              <w:rPr>
                <w:rFonts w:hint="eastAsia" w:ascii="宋体" w:hAnsi="宋体" w:eastAsia="宋体" w:cs="宋体"/>
                <w:color w:val="000000" w:themeColor="text1"/>
                <w:sz w:val="21"/>
                <w:szCs w:val="21"/>
                <w:lang w:eastAsia="zh-CN"/>
              </w:rPr>
              <w:t>，</w:t>
            </w:r>
            <w:r>
              <w:rPr>
                <w:rFonts w:hint="eastAsia" w:ascii="宋体" w:hAnsi="宋体" w:cs="宋体"/>
                <w:color w:val="000000" w:themeColor="text1"/>
                <w:sz w:val="21"/>
                <w:szCs w:val="21"/>
                <w:lang w:val="en-US" w:eastAsia="zh-CN"/>
              </w:rPr>
              <w:t>有效期：2020.12.25</w:t>
            </w:r>
          </w:p>
          <w:p>
            <w:pPr>
              <w:spacing w:line="360" w:lineRule="auto"/>
              <w:rPr>
                <w:rFonts w:hint="eastAsia" w:ascii="宋体" w:hAnsi="宋体" w:eastAsia="宋体" w:cs="宋体"/>
                <w:sz w:val="21"/>
                <w:szCs w:val="21"/>
              </w:rPr>
            </w:pPr>
            <w:r>
              <w:rPr>
                <w:rFonts w:hint="eastAsia" w:ascii="宋体" w:hAnsi="宋体" w:eastAsia="宋体" w:cs="宋体"/>
                <w:color w:val="000000" w:themeColor="text1"/>
                <w:sz w:val="21"/>
                <w:szCs w:val="21"/>
              </w:rPr>
              <w:t>人力资源控制基本满足要求。</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形成文件的信息总则</w:t>
            </w:r>
          </w:p>
        </w:tc>
        <w:tc>
          <w:tcPr>
            <w:tcW w:w="1311" w:type="dxa"/>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7.5.1</w:t>
            </w:r>
          </w:p>
          <w:p>
            <w:pPr>
              <w:spacing w:line="360" w:lineRule="auto"/>
              <w:rPr>
                <w:rFonts w:hint="eastAsia" w:ascii="宋体" w:hAnsi="宋体" w:eastAsia="宋体" w:cs="宋体"/>
                <w:sz w:val="21"/>
                <w:szCs w:val="21"/>
              </w:rPr>
            </w:pPr>
          </w:p>
        </w:tc>
        <w:tc>
          <w:tcPr>
            <w:tcW w:w="10004" w:type="dxa"/>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梁春燕</w:t>
            </w:r>
            <w:r>
              <w:rPr>
                <w:rFonts w:hint="eastAsia" w:ascii="宋体" w:hAnsi="宋体" w:eastAsia="宋体" w:cs="宋体"/>
                <w:sz w:val="21"/>
                <w:szCs w:val="21"/>
              </w:rPr>
              <w:t xml:space="preserve">介绍：企业根据公司建立了管理体系的要求及其体系覆盖范围、企业员工的文化水平、各过程的控制难易程度、企业的实际情况建立了管理体系，企业环境管理体系文件主要包括： </w:t>
            </w:r>
          </w:p>
          <w:p>
            <w:pPr>
              <w:spacing w:line="360" w:lineRule="auto"/>
              <w:rPr>
                <w:rFonts w:hint="eastAsia" w:ascii="宋体" w:hAnsi="宋体" w:eastAsia="宋体" w:cs="宋体"/>
                <w:sz w:val="21"/>
                <w:szCs w:val="21"/>
              </w:rPr>
            </w:pPr>
            <w:r>
              <w:rPr>
                <w:rFonts w:hint="eastAsia" w:ascii="宋体" w:hAnsi="宋体" w:eastAsia="宋体" w:cs="宋体"/>
                <w:sz w:val="21"/>
                <w:szCs w:val="21"/>
              </w:rPr>
              <w:t>1）在企业管理手册、程序文件中包括了：管理方针、体系覆盖范围的描述、管理目标、主要要素、过程及其相互作用的描述，以及相关文件查询途径。</w:t>
            </w:r>
          </w:p>
          <w:p>
            <w:pPr>
              <w:spacing w:line="360" w:lineRule="auto"/>
              <w:rPr>
                <w:rFonts w:hint="eastAsia" w:ascii="宋体" w:hAnsi="宋体" w:eastAsia="宋体" w:cs="宋体"/>
                <w:sz w:val="21"/>
                <w:szCs w:val="21"/>
              </w:rPr>
            </w:pPr>
            <w:r>
              <w:rPr>
                <w:rFonts w:hint="eastAsia" w:ascii="宋体" w:hAnsi="宋体" w:eastAsia="宋体" w:cs="宋体"/>
                <w:sz w:val="21"/>
                <w:szCs w:val="21"/>
              </w:rPr>
              <w:t>2）编制了涉及质量、安全、环境体系过程所需体系有效运行所需管理制度；</w:t>
            </w:r>
          </w:p>
          <w:p>
            <w:pPr>
              <w:spacing w:line="360" w:lineRule="auto"/>
              <w:rPr>
                <w:rFonts w:hint="eastAsia" w:ascii="宋体" w:hAnsi="宋体" w:eastAsia="宋体" w:cs="宋体"/>
                <w:sz w:val="21"/>
                <w:szCs w:val="21"/>
              </w:rPr>
            </w:pPr>
            <w:r>
              <w:rPr>
                <w:rFonts w:hint="eastAsia" w:ascii="宋体" w:hAnsi="宋体" w:eastAsia="宋体" w:cs="宋体"/>
                <w:sz w:val="21"/>
                <w:szCs w:val="21"/>
              </w:rPr>
              <w:t>3）收集了有关外来文件；</w:t>
            </w:r>
          </w:p>
          <w:p>
            <w:pPr>
              <w:spacing w:line="360" w:lineRule="auto"/>
              <w:rPr>
                <w:rFonts w:hint="eastAsia" w:ascii="宋体" w:hAnsi="宋体" w:eastAsia="宋体" w:cs="宋体"/>
                <w:sz w:val="21"/>
                <w:szCs w:val="21"/>
              </w:rPr>
            </w:pPr>
            <w:r>
              <w:rPr>
                <w:rFonts w:hint="eastAsia" w:ascii="宋体" w:hAnsi="宋体" w:eastAsia="宋体" w:cs="宋体"/>
                <w:sz w:val="21"/>
                <w:szCs w:val="21"/>
              </w:rPr>
              <w:t>4）策划了有关体系运行的记录。</w:t>
            </w:r>
          </w:p>
          <w:p>
            <w:pPr>
              <w:spacing w:line="360" w:lineRule="auto"/>
              <w:rPr>
                <w:rFonts w:hint="eastAsia" w:ascii="宋体" w:hAnsi="宋体" w:eastAsia="宋体" w:cs="宋体"/>
                <w:sz w:val="21"/>
                <w:szCs w:val="21"/>
              </w:rPr>
            </w:pPr>
            <w:r>
              <w:rPr>
                <w:rFonts w:hint="eastAsia" w:ascii="宋体" w:hAnsi="宋体" w:eastAsia="宋体" w:cs="宋体"/>
                <w:sz w:val="21"/>
                <w:szCs w:val="21"/>
              </w:rPr>
              <w:t>企业</w:t>
            </w:r>
            <w:r>
              <w:rPr>
                <w:rFonts w:hint="eastAsia" w:ascii="宋体" w:hAnsi="宋体" w:cs="宋体"/>
                <w:sz w:val="21"/>
                <w:szCs w:val="21"/>
                <w:lang w:val="en-US" w:eastAsia="zh-CN"/>
              </w:rPr>
              <w:t>运行的</w:t>
            </w:r>
            <w:r>
              <w:rPr>
                <w:rFonts w:hint="eastAsia" w:ascii="宋体" w:hAnsi="宋体" w:eastAsia="宋体" w:cs="宋体"/>
                <w:sz w:val="21"/>
                <w:szCs w:val="21"/>
              </w:rPr>
              <w:t>文件</w:t>
            </w:r>
            <w:r>
              <w:rPr>
                <w:rFonts w:hint="eastAsia" w:ascii="宋体" w:hAnsi="宋体" w:cs="宋体"/>
                <w:sz w:val="21"/>
                <w:szCs w:val="21"/>
                <w:lang w:val="en-US" w:eastAsia="zh-CN"/>
              </w:rPr>
              <w:t>由</w:t>
            </w:r>
            <w:r>
              <w:rPr>
                <w:rFonts w:hint="eastAsia" w:ascii="宋体" w:hAnsi="宋体" w:eastAsia="宋体" w:cs="宋体"/>
                <w:sz w:val="21"/>
                <w:szCs w:val="21"/>
              </w:rPr>
              <w:t>总经理</w:t>
            </w:r>
            <w:r>
              <w:rPr>
                <w:rFonts w:hint="eastAsia" w:ascii="宋体" w:hAnsi="宋体" w:cs="宋体"/>
                <w:sz w:val="21"/>
                <w:szCs w:val="21"/>
                <w:lang w:val="en-US" w:eastAsia="zh-CN"/>
              </w:rPr>
              <w:t>鲁鹏</w:t>
            </w:r>
            <w:r>
              <w:rPr>
                <w:rFonts w:hint="eastAsia" w:ascii="宋体" w:hAnsi="宋体" w:eastAsia="宋体" w:cs="宋体"/>
                <w:sz w:val="21"/>
                <w:szCs w:val="21"/>
              </w:rPr>
              <w:t>批准，于2019年3月1</w:t>
            </w:r>
            <w:r>
              <w:rPr>
                <w:rFonts w:hint="eastAsia" w:ascii="宋体" w:hAnsi="宋体" w:eastAsia="宋体" w:cs="宋体"/>
                <w:sz w:val="21"/>
                <w:szCs w:val="21"/>
                <w:lang w:val="en-US" w:eastAsia="zh-CN"/>
              </w:rPr>
              <w:t>0</w:t>
            </w:r>
            <w:r>
              <w:rPr>
                <w:rFonts w:hint="eastAsia" w:ascii="宋体" w:hAnsi="宋体" w:eastAsia="宋体" w:cs="宋体"/>
                <w:sz w:val="21"/>
                <w:szCs w:val="21"/>
              </w:rPr>
              <w:t>日发布实施</w:t>
            </w:r>
            <w:r>
              <w:rPr>
                <w:rFonts w:hint="eastAsia" w:ascii="宋体" w:hAnsi="宋体" w:cs="宋体"/>
                <w:sz w:val="21"/>
                <w:szCs w:val="21"/>
                <w:lang w:eastAsia="zh-CN"/>
              </w:rPr>
              <w:t>，</w:t>
            </w:r>
            <w:r>
              <w:rPr>
                <w:rFonts w:hint="eastAsia" w:ascii="宋体" w:hAnsi="宋体" w:cs="宋体"/>
                <w:sz w:val="21"/>
                <w:szCs w:val="21"/>
                <w:lang w:val="en-US" w:eastAsia="zh-CN"/>
              </w:rPr>
              <w:t>运行一年多未更改</w:t>
            </w:r>
            <w:r>
              <w:rPr>
                <w:rFonts w:hint="eastAsia" w:ascii="宋体" w:hAnsi="宋体" w:eastAsia="宋体" w:cs="宋体"/>
                <w:sz w:val="21"/>
                <w:szCs w:val="21"/>
              </w:rPr>
              <w:t>。</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文件控制</w:t>
            </w:r>
          </w:p>
        </w:tc>
        <w:tc>
          <w:tcPr>
            <w:tcW w:w="1311" w:type="dxa"/>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7.5.2</w:t>
            </w:r>
          </w:p>
          <w:p>
            <w:pPr>
              <w:spacing w:line="360" w:lineRule="auto"/>
              <w:rPr>
                <w:rFonts w:hint="eastAsia" w:ascii="宋体" w:hAnsi="宋体" w:eastAsia="宋体" w:cs="宋体"/>
                <w:sz w:val="21"/>
                <w:szCs w:val="21"/>
              </w:rPr>
            </w:pPr>
            <w:r>
              <w:rPr>
                <w:rFonts w:hint="eastAsia" w:ascii="宋体" w:hAnsi="宋体" w:eastAsia="宋体" w:cs="宋体"/>
                <w:sz w:val="21"/>
                <w:szCs w:val="21"/>
              </w:rPr>
              <w:t>7.5.3</w:t>
            </w:r>
          </w:p>
        </w:tc>
        <w:tc>
          <w:tcPr>
            <w:tcW w:w="1000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企业编制了《文件控制程序》、《记录控制程序》，规定了有关企业文件、记录编制、标识、外来文件的收集编制、控制、管理要求。</w:t>
            </w:r>
          </w:p>
          <w:p>
            <w:pPr>
              <w:spacing w:line="360" w:lineRule="auto"/>
              <w:rPr>
                <w:rFonts w:hint="eastAsia" w:ascii="宋体" w:hAnsi="宋体" w:eastAsia="宋体" w:cs="宋体"/>
                <w:sz w:val="21"/>
                <w:szCs w:val="21"/>
              </w:rPr>
            </w:pPr>
            <w:r>
              <w:rPr>
                <w:rFonts w:hint="eastAsia" w:ascii="宋体" w:hAnsi="宋体" w:eastAsia="宋体" w:cs="宋体"/>
                <w:sz w:val="21"/>
                <w:szCs w:val="21"/>
              </w:rPr>
              <w:t>为确保企业体系文件的适宜性和充分性，规定了企业文件资料的标识、格式、评审和批准的要求。</w:t>
            </w:r>
          </w:p>
          <w:p>
            <w:pPr>
              <w:spacing w:line="360" w:lineRule="auto"/>
              <w:rPr>
                <w:rFonts w:hint="eastAsia" w:ascii="宋体" w:hAnsi="宋体" w:eastAsia="宋体" w:cs="宋体"/>
                <w:sz w:val="21"/>
                <w:szCs w:val="21"/>
              </w:rPr>
            </w:pPr>
            <w:r>
              <w:rPr>
                <w:rFonts w:hint="eastAsia" w:ascii="宋体" w:hAnsi="宋体" w:eastAsia="宋体" w:cs="宋体"/>
                <w:sz w:val="21"/>
                <w:szCs w:val="21"/>
              </w:rPr>
              <w:t>查企业提供的《环境管理手册》，查阅文审部分已经进行了修改，经过批准后进行更改。一阶段问题已整改有效，文件均为打印文稿，保持清晰，易于识别。</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企业提供了针对以上文件的《文件发放记录》，记录了以上有关体系文件的发放情况。 </w:t>
            </w:r>
          </w:p>
          <w:p>
            <w:pPr>
              <w:spacing w:line="360" w:lineRule="auto"/>
              <w:rPr>
                <w:rFonts w:hint="eastAsia" w:ascii="宋体" w:hAnsi="宋体" w:eastAsia="宋体" w:cs="宋体"/>
                <w:sz w:val="21"/>
                <w:szCs w:val="21"/>
              </w:rPr>
            </w:pPr>
            <w:r>
              <w:rPr>
                <w:rFonts w:hint="eastAsia" w:ascii="宋体" w:hAnsi="宋体" w:eastAsia="宋体" w:cs="宋体"/>
                <w:sz w:val="21"/>
                <w:szCs w:val="21"/>
              </w:rPr>
              <w:t>提供了《法律法规清单》列入了相关机械加工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铸造</w:t>
            </w:r>
            <w:r>
              <w:rPr>
                <w:rFonts w:hint="eastAsia" w:ascii="宋体" w:hAnsi="宋体" w:eastAsia="宋体" w:cs="宋体"/>
                <w:sz w:val="21"/>
                <w:szCs w:val="21"/>
              </w:rPr>
              <w:t>生产的质量、安全、环境法规外来文件，并形成文件的信息的控制。对以上进行识别、收集。</w:t>
            </w:r>
          </w:p>
          <w:p>
            <w:pPr>
              <w:spacing w:line="360" w:lineRule="auto"/>
              <w:rPr>
                <w:rFonts w:hint="eastAsia" w:ascii="宋体" w:hAnsi="宋体" w:eastAsia="宋体" w:cs="宋体"/>
                <w:sz w:val="21"/>
                <w:szCs w:val="21"/>
              </w:rPr>
            </w:pPr>
            <w:r>
              <w:rPr>
                <w:rFonts w:hint="eastAsia" w:ascii="宋体" w:hAnsi="宋体" w:eastAsia="宋体" w:cs="宋体"/>
                <w:sz w:val="21"/>
                <w:szCs w:val="21"/>
              </w:rPr>
              <w:t>由办公室负责通过到主管部门、网上收集、标准发布部门进行购买，并对外来文件的识别、跟踪、控制。</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运行策划和控制</w:t>
            </w:r>
          </w:p>
        </w:tc>
        <w:tc>
          <w:tcPr>
            <w:tcW w:w="1311" w:type="dxa"/>
            <w:vAlign w:val="center"/>
          </w:tcPr>
          <w:p>
            <w:pPr>
              <w:spacing w:line="360" w:lineRule="auto"/>
              <w:rPr>
                <w:rFonts w:hint="eastAsia" w:ascii="宋体" w:hAnsi="宋体" w:eastAsia="宋体" w:cs="宋体"/>
                <w:sz w:val="21"/>
                <w:szCs w:val="21"/>
              </w:rPr>
            </w:pPr>
            <w:r>
              <w:rPr>
                <w:rFonts w:hint="eastAsia" w:ascii="宋体" w:hAnsi="宋体" w:cs="宋体"/>
                <w:bCs/>
                <w:sz w:val="21"/>
                <w:szCs w:val="21"/>
                <w:lang w:val="en-US" w:eastAsia="zh-CN"/>
              </w:rPr>
              <w:t xml:space="preserve">  </w:t>
            </w:r>
            <w:r>
              <w:rPr>
                <w:rFonts w:hint="eastAsia" w:ascii="宋体" w:hAnsi="宋体" w:eastAsia="宋体" w:cs="宋体"/>
                <w:sz w:val="21"/>
                <w:szCs w:val="21"/>
              </w:rPr>
              <w:t xml:space="preserve">8.1  </w:t>
            </w: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宝鸡市天王机械有限责任公司位于</w:t>
            </w:r>
            <w:r>
              <w:rPr>
                <w:rFonts w:hint="eastAsia" w:ascii="宋体" w:hAnsi="宋体" w:eastAsia="宋体" w:cs="宋体"/>
                <w:sz w:val="21"/>
                <w:szCs w:val="21"/>
                <w:lang w:val="en-US" w:eastAsia="zh-CN"/>
              </w:rPr>
              <w:t>宝鸡市高新区天王镇西街，始建于六十年代，</w:t>
            </w:r>
            <w:r>
              <w:rPr>
                <w:rFonts w:hint="eastAsia" w:ascii="宋体" w:hAnsi="宋体" w:eastAsia="宋体" w:cs="宋体"/>
                <w:sz w:val="21"/>
                <w:szCs w:val="21"/>
              </w:rPr>
              <w:t>周边是其他单位。根据需要建设有办公楼、车间、仓库，厂区有停车位和</w:t>
            </w:r>
            <w:r>
              <w:rPr>
                <w:rFonts w:hint="eastAsia" w:ascii="宋体" w:hAnsi="宋体" w:eastAsia="宋体" w:cs="宋体"/>
                <w:sz w:val="21"/>
                <w:szCs w:val="21"/>
                <w:lang w:val="en-US" w:eastAsia="zh-CN"/>
              </w:rPr>
              <w:t>灭火器等</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制定并实施了《环境管理控制程序》、《固体废弃物污染防治控制程序》、《废水污染防治控制程序》、《废气防治污染控制程序》、《噪声防治污染控制程序》、《能源资源管理控制程序》、《危险化学品管理控制程序》、《环保设备设施运行控制程序》等环境管理程序。</w:t>
            </w:r>
          </w:p>
          <w:p>
            <w:pPr>
              <w:pStyle w:val="2"/>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kern w:val="2"/>
                <w:sz w:val="21"/>
                <w:szCs w:val="21"/>
                <w:lang w:val="en-US" w:eastAsia="zh-CN" w:bidi="ar-SA"/>
              </w:rPr>
              <w:t>铸造的中频炉经1台高效脉冲电炉专用布袋除尘器处理后经15m排气筒排放。</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2、涂漆工序废气，采用水性环氧防腐底漆涂漆工艺产生的有机废气通过负压真空管进入UV光氧催化净化器经初级过滤、活性炭吸附、UV光解净化后15米高排气筒排放。</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3、抛丸工序粉尘采用1台脉冲滤筒除尘器处理经15m排气筒排放。</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与陕西</w:t>
            </w:r>
            <w:r>
              <w:rPr>
                <w:rFonts w:hint="eastAsia" w:ascii="宋体" w:hAnsi="宋体" w:eastAsia="宋体" w:cs="宋体"/>
                <w:sz w:val="21"/>
                <w:szCs w:val="21"/>
                <w:lang w:val="en-US" w:eastAsia="zh-CN"/>
              </w:rPr>
              <w:t>环能科技</w:t>
            </w:r>
            <w:r>
              <w:rPr>
                <w:rFonts w:hint="eastAsia" w:ascii="宋体" w:hAnsi="宋体" w:eastAsia="宋体" w:cs="宋体"/>
                <w:sz w:val="21"/>
                <w:szCs w:val="21"/>
              </w:rPr>
              <w:t>有限公司签订了危险废物处置合同，经查处理方有处理资质。</w:t>
            </w:r>
          </w:p>
          <w:p>
            <w:pPr>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厨房购买的北京京科蓝天环保科技有限公司的《静电式油烟净化器》，处理油烟。</w:t>
            </w:r>
          </w:p>
          <w:p>
            <w:pPr>
              <w:pStyle w:val="2"/>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6、2020.7.16取得了宝鸡市环境保护局高新分局颁发，编号：9161030122140130XB001X《排污许可证》有效期至2023年7月15日。</w:t>
            </w:r>
          </w:p>
          <w:p>
            <w:pPr>
              <w:pStyle w:val="3"/>
              <w:rPr>
                <w:rFonts w:hint="eastAsia" w:ascii="宋体" w:hAnsi="宋体" w:eastAsia="宋体" w:cs="宋体"/>
                <w:sz w:val="21"/>
                <w:szCs w:val="21"/>
                <w:lang w:val="en-US" w:eastAsia="zh-CN"/>
              </w:rPr>
            </w:pPr>
            <w:bookmarkStart w:id="0" w:name="_GoBack"/>
            <w:r>
              <w:rPr>
                <w:rFonts w:hint="eastAsia" w:ascii="宋体" w:hAnsi="宋体" w:eastAsia="宋体" w:cs="宋体"/>
                <w:sz w:val="21"/>
                <w:szCs w:val="21"/>
                <w:lang w:val="en-US" w:eastAsia="zh-CN"/>
              </w:rPr>
              <w:drawing>
                <wp:anchor distT="0" distB="0" distL="114300" distR="114300" simplePos="0" relativeHeight="251715584" behindDoc="0" locked="0" layoutInCell="1" allowOverlap="1">
                  <wp:simplePos x="0" y="0"/>
                  <wp:positionH relativeFrom="column">
                    <wp:posOffset>3869055</wp:posOffset>
                  </wp:positionH>
                  <wp:positionV relativeFrom="paragraph">
                    <wp:posOffset>162560</wp:posOffset>
                  </wp:positionV>
                  <wp:extent cx="1839595" cy="2766695"/>
                  <wp:effectExtent l="0" t="0" r="1905" b="1905"/>
                  <wp:wrapNone/>
                  <wp:docPr id="24" name="图片 24" descr="044b35acf023d14e757fa1032b16c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044b35acf023d14e757fa1032b16c64"/>
                          <pic:cNvPicPr>
                            <a:picLocks noChangeAspect="1"/>
                          </pic:cNvPicPr>
                        </pic:nvPicPr>
                        <pic:blipFill>
                          <a:blip r:embed="rId6"/>
                          <a:stretch>
                            <a:fillRect/>
                          </a:stretch>
                        </pic:blipFill>
                        <pic:spPr>
                          <a:xfrm>
                            <a:off x="0" y="0"/>
                            <a:ext cx="1839595" cy="2766695"/>
                          </a:xfrm>
                          <a:prstGeom prst="rect">
                            <a:avLst/>
                          </a:prstGeom>
                        </pic:spPr>
                      </pic:pic>
                    </a:graphicData>
                  </a:graphic>
                </wp:anchor>
              </w:drawing>
            </w:r>
            <w:bookmarkEnd w:id="0"/>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anchor distT="0" distB="0" distL="114300" distR="114300" simplePos="0" relativeHeight="251773952" behindDoc="0" locked="0" layoutInCell="1" allowOverlap="1">
                  <wp:simplePos x="0" y="0"/>
                  <wp:positionH relativeFrom="column">
                    <wp:posOffset>210185</wp:posOffset>
                  </wp:positionH>
                  <wp:positionV relativeFrom="paragraph">
                    <wp:posOffset>6350</wp:posOffset>
                  </wp:positionV>
                  <wp:extent cx="3498215" cy="2313305"/>
                  <wp:effectExtent l="0" t="0" r="6985" b="10795"/>
                  <wp:wrapNone/>
                  <wp:docPr id="3" name="图片 3" descr="922f540ef628190c235ac16f2a191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22f540ef628190c235ac16f2a191c8"/>
                          <pic:cNvPicPr>
                            <a:picLocks noChangeAspect="1"/>
                          </pic:cNvPicPr>
                        </pic:nvPicPr>
                        <pic:blipFill>
                          <a:blip r:embed="rId7"/>
                          <a:stretch>
                            <a:fillRect/>
                          </a:stretch>
                        </pic:blipFill>
                        <pic:spPr>
                          <a:xfrm>
                            <a:off x="0" y="0"/>
                            <a:ext cx="3498215" cy="2313305"/>
                          </a:xfrm>
                          <a:prstGeom prst="rect">
                            <a:avLst/>
                          </a:prstGeom>
                        </pic:spPr>
                      </pic:pic>
                    </a:graphicData>
                  </a:graphic>
                </wp:anchor>
              </w:drawing>
            </w:r>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p>
          <w:p>
            <w:pPr>
              <w:pStyle w:val="3"/>
              <w:rPr>
                <w:rFonts w:hint="eastAsia" w:ascii="宋体" w:hAnsi="宋体" w:eastAsia="宋体" w:cs="宋体"/>
                <w:sz w:val="21"/>
                <w:szCs w:val="21"/>
                <w:lang w:val="en-US" w:eastAsia="zh-CN"/>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按公司要求人走关灯，办公室内电脑要求人走后电源切断。办公室内垃圾主要包含可回收垃圾、硒鼓、废纸。公司配置了</w:t>
            </w:r>
            <w:r>
              <w:rPr>
                <w:rFonts w:hint="eastAsia" w:ascii="宋体" w:hAnsi="宋体" w:cs="宋体"/>
                <w:sz w:val="21"/>
                <w:szCs w:val="21"/>
                <w:lang w:val="en-US" w:eastAsia="zh-CN"/>
              </w:rPr>
              <w:t>分类</w:t>
            </w:r>
            <w:r>
              <w:rPr>
                <w:rFonts w:hint="eastAsia" w:ascii="宋体" w:hAnsi="宋体" w:eastAsia="宋体" w:cs="宋体"/>
                <w:sz w:val="21"/>
                <w:szCs w:val="21"/>
              </w:rPr>
              <w:t>垃圾箱</w:t>
            </w:r>
            <w:r>
              <w:rPr>
                <w:rFonts w:hint="eastAsia" w:ascii="宋体" w:hAnsi="宋体" w:cs="宋体"/>
                <w:sz w:val="21"/>
                <w:szCs w:val="21"/>
                <w:lang w:eastAsia="zh-CN"/>
              </w:rPr>
              <w:t>、</w:t>
            </w:r>
            <w:r>
              <w:rPr>
                <w:rFonts w:hint="eastAsia" w:ascii="宋体" w:hAnsi="宋体" w:cs="宋体"/>
                <w:sz w:val="21"/>
                <w:szCs w:val="21"/>
                <w:lang w:val="en-US" w:eastAsia="zh-CN"/>
              </w:rPr>
              <w:t>专门设立废旧口罩回收垃圾桶</w:t>
            </w:r>
            <w:r>
              <w:rPr>
                <w:rFonts w:hint="eastAsia" w:ascii="宋体" w:hAnsi="宋体" w:eastAsia="宋体" w:cs="宋体"/>
                <w:sz w:val="21"/>
                <w:szCs w:val="21"/>
              </w:rPr>
              <w:t>，办公室统一处理</w:t>
            </w:r>
            <w:r>
              <w:rPr>
                <w:rFonts w:hint="eastAsia" w:ascii="宋体" w:hAnsi="宋体" w:cs="宋体"/>
                <w:sz w:val="21"/>
                <w:szCs w:val="21"/>
                <w:lang w:eastAsia="zh-CN"/>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对可回收的固体废弃物，一部分由厂家回收，厂家不回收的公司统一回收再利用或由物资回收公司处理。不可回收的废弃物由公司办公室统一处理，各部门不得单独处理。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cs="宋体"/>
                <w:sz w:val="21"/>
                <w:szCs w:val="21"/>
                <w:lang w:val="en-US" w:eastAsia="zh-CN"/>
              </w:rPr>
              <w:t>20</w:t>
            </w:r>
            <w:r>
              <w:rPr>
                <w:rFonts w:hint="eastAsia" w:ascii="宋体" w:hAnsi="宋体" w:eastAsia="宋体" w:cs="宋体"/>
                <w:sz w:val="21"/>
                <w:szCs w:val="21"/>
              </w:rPr>
              <w:t>.</w:t>
            </w:r>
            <w:r>
              <w:rPr>
                <w:rFonts w:hint="eastAsia" w:ascii="宋体" w:hAnsi="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26</w:t>
            </w:r>
            <w:r>
              <w:rPr>
                <w:rFonts w:hint="eastAsia" w:ascii="宋体" w:hAnsi="宋体" w:eastAsia="宋体" w:cs="宋体"/>
                <w:sz w:val="21"/>
                <w:szCs w:val="21"/>
              </w:rPr>
              <w:t>日与陕西</w:t>
            </w:r>
            <w:r>
              <w:rPr>
                <w:rFonts w:hint="eastAsia" w:ascii="宋体" w:hAnsi="宋体" w:eastAsia="宋体" w:cs="宋体"/>
                <w:sz w:val="21"/>
                <w:szCs w:val="21"/>
                <w:lang w:val="en-US" w:eastAsia="zh-CN"/>
              </w:rPr>
              <w:t>环能科技</w:t>
            </w:r>
            <w:r>
              <w:rPr>
                <w:rFonts w:hint="eastAsia" w:ascii="宋体" w:hAnsi="宋体" w:eastAsia="宋体" w:cs="宋体"/>
                <w:sz w:val="21"/>
                <w:szCs w:val="21"/>
              </w:rPr>
              <w:t>有限公司签订了危险废物处置合同，经查处理方有处理资质。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生活污水经化粪池简单处理后排入市政污水管网。</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办公室内主要是电的使用，电器有漏电保护器，经常对电路、电源进行检查，没有露电现象发生。现场巡视办公区域灭火器正常，电线、电气插座完整，未见破损，空调设定在26℃。</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办公室部门运行控制基本符合规定要求。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部门运行控制能结合产品生命周期方法，基本符合规定要求。</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trPr>
        <w:tc>
          <w:tcPr>
            <w:tcW w:w="1809" w:type="dxa"/>
            <w:vAlign w:val="center"/>
          </w:tcPr>
          <w:p>
            <w:pPr>
              <w:spacing w:line="360" w:lineRule="auto"/>
              <w:rPr>
                <w:rFonts w:hint="eastAsia" w:ascii="宋体" w:hAnsi="宋体" w:eastAsia="宋体" w:cs="宋体"/>
                <w:bCs/>
                <w:sz w:val="21"/>
                <w:szCs w:val="21"/>
              </w:rPr>
            </w:pPr>
            <w:r>
              <w:rPr>
                <w:rFonts w:hint="eastAsia" w:ascii="宋体" w:hAnsi="宋体" w:eastAsia="宋体" w:cs="宋体"/>
                <w:sz w:val="21"/>
                <w:szCs w:val="21"/>
              </w:rPr>
              <w:t>应急准备和响应</w:t>
            </w:r>
          </w:p>
          <w:p>
            <w:pPr>
              <w:spacing w:line="360" w:lineRule="auto"/>
              <w:rPr>
                <w:rFonts w:hint="eastAsia" w:ascii="宋体" w:hAnsi="宋体" w:eastAsia="宋体" w:cs="宋体"/>
                <w:sz w:val="21"/>
                <w:szCs w:val="21"/>
              </w:rPr>
            </w:pPr>
          </w:p>
        </w:tc>
        <w:tc>
          <w:tcPr>
            <w:tcW w:w="1311" w:type="dxa"/>
          </w:tcPr>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sz w:val="21"/>
                <w:szCs w:val="21"/>
              </w:rPr>
            </w:pPr>
          </w:p>
          <w:p>
            <w:pPr>
              <w:spacing w:line="360" w:lineRule="auto"/>
              <w:ind w:firstLine="210" w:firstLineChars="100"/>
              <w:rPr>
                <w:rFonts w:hint="eastAsia" w:ascii="宋体" w:hAnsi="宋体" w:eastAsia="宋体" w:cs="宋体"/>
                <w:bCs/>
                <w:sz w:val="21"/>
                <w:szCs w:val="21"/>
              </w:rPr>
            </w:pPr>
            <w:r>
              <w:rPr>
                <w:rFonts w:hint="eastAsia" w:ascii="宋体" w:hAnsi="宋体" w:eastAsia="宋体" w:cs="宋体"/>
                <w:sz w:val="21"/>
                <w:szCs w:val="21"/>
              </w:rPr>
              <w:t>8.2</w:t>
            </w: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tc>
        <w:tc>
          <w:tcPr>
            <w:tcW w:w="10004" w:type="dxa"/>
          </w:tcPr>
          <w:p>
            <w:pPr>
              <w:spacing w:line="360" w:lineRule="auto"/>
              <w:ind w:firstLine="420" w:firstLineChars="200"/>
              <w:rPr>
                <w:rFonts w:hint="eastAsia"/>
              </w:rPr>
            </w:pPr>
            <w:r>
              <w:rPr>
                <w:rFonts w:hint="eastAsia"/>
              </w:rPr>
              <w:t>提供了《应急准备和响应控制程序》、《消防应急预案》，其中包括目的、适用范围、职责、应急领导小组成员职责、程序、现场应急措施等，相关内容基本充分。</w:t>
            </w:r>
          </w:p>
          <w:p>
            <w:pPr>
              <w:spacing w:line="360" w:lineRule="auto"/>
              <w:ind w:firstLine="420" w:firstLineChars="200"/>
              <w:rPr>
                <w:rFonts w:hint="eastAsia"/>
              </w:rPr>
            </w:pPr>
            <w:r>
              <w:rPr>
                <w:rFonts w:hint="eastAsia"/>
              </w:rPr>
              <w:t>查到《消防应急预案演练记录》，20</w:t>
            </w:r>
            <w:r>
              <w:rPr>
                <w:rFonts w:hint="eastAsia"/>
                <w:lang w:val="en-US" w:eastAsia="zh-CN"/>
              </w:rPr>
              <w:t>20</w:t>
            </w:r>
            <w:r>
              <w:rPr>
                <w:rFonts w:hint="eastAsia"/>
              </w:rPr>
              <w:t>.</w:t>
            </w:r>
            <w:r>
              <w:rPr>
                <w:rFonts w:hint="eastAsia"/>
                <w:lang w:val="en-US" w:eastAsia="zh-CN"/>
              </w:rPr>
              <w:t>5.15</w:t>
            </w:r>
            <w:r>
              <w:rPr>
                <w:rFonts w:hint="eastAsia"/>
              </w:rPr>
              <w:t>日公司全体人员参与了集团公司组织的消防演练，记录了演练过程，对演练中的一些常规知识进行了现场讲评。演练后对应急预案的适宜性、充分性进行了评审，结论：应急准备充分，具有可操作性，应急预案不需修改，记录人</w:t>
            </w:r>
            <w:r>
              <w:rPr>
                <w:rFonts w:hint="eastAsia"/>
                <w:lang w:val="en-US" w:eastAsia="zh-CN"/>
              </w:rPr>
              <w:t>严伟</w:t>
            </w:r>
            <w:r>
              <w:rPr>
                <w:rFonts w:hint="eastAsia"/>
              </w:rPr>
              <w:t>。</w:t>
            </w:r>
          </w:p>
          <w:p>
            <w:pPr>
              <w:spacing w:line="360" w:lineRule="auto"/>
              <w:rPr>
                <w:rFonts w:hint="eastAsia"/>
                <w:lang w:eastAsia="zh-CN"/>
              </w:rPr>
            </w:pPr>
            <w:r>
              <w:rPr>
                <w:rFonts w:hint="eastAsia"/>
              </w:rPr>
              <w:t>现场查看办公楼有消防栓和灭火器，状态正常。查到消防安全巡查记录表，抽查</w:t>
            </w:r>
            <w:r>
              <w:rPr>
                <w:rFonts w:hint="eastAsia"/>
                <w:lang w:val="en-US" w:eastAsia="zh-CN"/>
              </w:rPr>
              <w:t>办公室</w:t>
            </w:r>
            <w:r>
              <w:rPr>
                <w:rFonts w:hint="eastAsia"/>
              </w:rPr>
              <w:t>2019年检查记录</w:t>
            </w:r>
            <w:r>
              <w:rPr>
                <w:rFonts w:hint="eastAsia"/>
                <w:lang w:eastAsia="zh-CN"/>
              </w:rPr>
              <w:t>。</w:t>
            </w:r>
          </w:p>
          <w:p>
            <w:pPr>
              <w:spacing w:line="360" w:lineRule="auto"/>
              <w:rPr>
                <w:rFonts w:hint="eastAsia"/>
              </w:rPr>
            </w:pPr>
            <w:r>
              <w:rPr>
                <w:rFonts w:hint="eastAsia"/>
              </w:rPr>
              <w:t>自体系运行以来尚未发生紧急情况。</w:t>
            </w:r>
          </w:p>
          <w:p>
            <w:pPr>
              <w:pStyle w:val="2"/>
              <w:rPr>
                <w:rFonts w:hint="eastAsia"/>
              </w:rPr>
            </w:pPr>
          </w:p>
          <w:p>
            <w:pPr>
              <w:pStyle w:val="3"/>
              <w:rPr>
                <w:rFonts w:hint="eastAsia"/>
              </w:rPr>
            </w:pPr>
            <w:r>
              <w:rPr>
                <w:rFonts w:hint="eastAsia" w:eastAsia="宋体"/>
                <w:lang w:eastAsia="zh-CN"/>
              </w:rPr>
              <w:drawing>
                <wp:anchor distT="0" distB="0" distL="114300" distR="114300" simplePos="0" relativeHeight="251772928" behindDoc="0" locked="0" layoutInCell="1" allowOverlap="1">
                  <wp:simplePos x="0" y="0"/>
                  <wp:positionH relativeFrom="column">
                    <wp:posOffset>98425</wp:posOffset>
                  </wp:positionH>
                  <wp:positionV relativeFrom="paragraph">
                    <wp:posOffset>82550</wp:posOffset>
                  </wp:positionV>
                  <wp:extent cx="3457575" cy="2593340"/>
                  <wp:effectExtent l="0" t="0" r="9525" b="10160"/>
                  <wp:wrapNone/>
                  <wp:docPr id="2" name="图片 2" descr="a2f7fef532128e21ebe8b69511965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2f7fef532128e21ebe8b69511965bc"/>
                          <pic:cNvPicPr>
                            <a:picLocks noChangeAspect="1"/>
                          </pic:cNvPicPr>
                        </pic:nvPicPr>
                        <pic:blipFill>
                          <a:blip r:embed="rId8"/>
                          <a:stretch>
                            <a:fillRect/>
                          </a:stretch>
                        </pic:blipFill>
                        <pic:spPr>
                          <a:xfrm>
                            <a:off x="0" y="0"/>
                            <a:ext cx="3457575" cy="2593340"/>
                          </a:xfrm>
                          <a:prstGeom prst="rect">
                            <a:avLst/>
                          </a:prstGeom>
                        </pic:spPr>
                      </pic:pic>
                    </a:graphicData>
                  </a:graphic>
                </wp:anchor>
              </w:drawing>
            </w:r>
          </w:p>
          <w:p>
            <w:pPr>
              <w:pStyle w:val="3"/>
              <w:rPr>
                <w:rFonts w:hint="eastAsia"/>
              </w:rPr>
            </w:pPr>
          </w:p>
          <w:p>
            <w:pPr>
              <w:pStyle w:val="3"/>
              <w:rPr>
                <w:rFonts w:hint="eastAsia" w:eastAsia="宋体"/>
                <w:lang w:eastAsia="zh-CN"/>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2"/>
              <w:rPr>
                <w:rFonts w:hint="eastAsia"/>
              </w:rPr>
            </w:pP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监视、测量、分析和评价</w:t>
            </w:r>
          </w:p>
        </w:tc>
        <w:tc>
          <w:tcPr>
            <w:tcW w:w="1311" w:type="dxa"/>
            <w:vAlign w:val="center"/>
          </w:tcPr>
          <w:p>
            <w:pPr>
              <w:tabs>
                <w:tab w:val="left" w:pos="6597"/>
              </w:tabs>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sz w:val="21"/>
                <w:szCs w:val="21"/>
              </w:rPr>
              <w:t xml:space="preserve">9.1.1  </w:t>
            </w: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查到《质量、环境和职业健康安全目标指标考核表》，记录了公司质量、环境、职业健康安全目标完成情况，20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7</w:t>
            </w:r>
            <w:r>
              <w:rPr>
                <w:rFonts w:hint="eastAsia" w:ascii="宋体" w:hAnsi="宋体" w:eastAsia="宋体" w:cs="宋体"/>
                <w:sz w:val="21"/>
                <w:szCs w:val="21"/>
              </w:rPr>
              <w:t>月</w:t>
            </w:r>
            <w:r>
              <w:rPr>
                <w:rFonts w:hint="eastAsia" w:ascii="宋体" w:hAnsi="宋体" w:cs="宋体"/>
                <w:sz w:val="21"/>
                <w:szCs w:val="21"/>
                <w:lang w:val="en-US" w:eastAsia="zh-CN"/>
              </w:rPr>
              <w:t>30</w:t>
            </w:r>
            <w:r>
              <w:rPr>
                <w:rFonts w:hint="eastAsia" w:ascii="宋体" w:hAnsi="宋体" w:eastAsia="宋体" w:cs="宋体"/>
                <w:sz w:val="21"/>
                <w:szCs w:val="21"/>
              </w:rPr>
              <w:t>日完成情况：目标均已完成。</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提供《环境安全管理检查记录》，每月对各部门进行环境安全事项的例行检查，检查项目包括资源能源使用、固体废弃物管理、污水控制、噪声控制、消防设施管理、管理方案控制等。抽查20</w:t>
            </w:r>
            <w:r>
              <w:rPr>
                <w:rFonts w:hint="eastAsia" w:ascii="宋体" w:hAnsi="宋体" w:cs="宋体"/>
                <w:sz w:val="21"/>
                <w:szCs w:val="21"/>
                <w:lang w:val="en-US" w:eastAsia="zh-CN"/>
              </w:rPr>
              <w:t>20</w:t>
            </w:r>
            <w:r>
              <w:rPr>
                <w:rFonts w:hint="eastAsia" w:ascii="宋体" w:hAnsi="宋体" w:eastAsia="宋体" w:cs="宋体"/>
                <w:sz w:val="21"/>
                <w:szCs w:val="21"/>
              </w:rPr>
              <w:t>.</w:t>
            </w:r>
            <w:r>
              <w:rPr>
                <w:rFonts w:hint="eastAsia" w:ascii="宋体" w:hAnsi="宋体" w:cs="宋体"/>
                <w:sz w:val="21"/>
                <w:szCs w:val="21"/>
                <w:lang w:val="en-US" w:eastAsia="zh-CN"/>
              </w:rPr>
              <w:t>9</w:t>
            </w:r>
            <w:r>
              <w:rPr>
                <w:rFonts w:hint="eastAsia" w:ascii="宋体" w:hAnsi="宋体" w:eastAsia="宋体" w:cs="宋体"/>
                <w:sz w:val="21"/>
                <w:szCs w:val="21"/>
              </w:rPr>
              <w:t>.20日，检查人：</w:t>
            </w:r>
            <w:r>
              <w:rPr>
                <w:rFonts w:hint="eastAsia" w:ascii="宋体" w:hAnsi="宋体" w:eastAsia="宋体" w:cs="宋体"/>
                <w:sz w:val="21"/>
                <w:szCs w:val="21"/>
                <w:lang w:val="en-US" w:eastAsia="zh-CN"/>
              </w:rPr>
              <w:t>严伟</w:t>
            </w:r>
            <w:r>
              <w:rPr>
                <w:rFonts w:hint="eastAsia" w:ascii="宋体" w:hAnsi="宋体" w:eastAsia="宋体" w:cs="宋体"/>
                <w:sz w:val="21"/>
                <w:szCs w:val="21"/>
              </w:rPr>
              <w:t>。</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查到</w:t>
            </w:r>
            <w:r>
              <w:rPr>
                <w:rFonts w:hint="eastAsia" w:ascii="宋体" w:hAnsi="宋体" w:eastAsia="宋体" w:cs="宋体"/>
                <w:sz w:val="21"/>
                <w:szCs w:val="21"/>
                <w:lang w:val="en-US" w:eastAsia="zh-CN"/>
              </w:rPr>
              <w:t>2020</w:t>
            </w:r>
            <w:r>
              <w:rPr>
                <w:rFonts w:hint="eastAsia" w:ascii="宋体" w:hAnsi="宋体" w:eastAsia="宋体" w:cs="宋体"/>
                <w:sz w:val="21"/>
                <w:szCs w:val="21"/>
              </w:rPr>
              <w:t>年</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月 </w:t>
            </w:r>
            <w:r>
              <w:rPr>
                <w:rFonts w:hint="eastAsia" w:ascii="宋体" w:hAnsi="宋体" w:eastAsia="宋体" w:cs="宋体"/>
                <w:sz w:val="21"/>
                <w:szCs w:val="21"/>
                <w:lang w:val="en-US" w:eastAsia="zh-CN"/>
              </w:rPr>
              <w:t>26日陕西秦景蓝环境检测有限公司出具《监测报告》,对厂界噪声、废气无组织排放、废气有组织排放进行了监测，结果如下：</w:t>
            </w:r>
          </w:p>
          <w:p>
            <w:pPr>
              <w:pStyle w:val="2"/>
              <w:spacing w:line="360" w:lineRule="auto"/>
              <w:jc w:val="both"/>
              <w:rPr>
                <w:rFonts w:hint="default"/>
                <w:lang w:val="en-US" w:eastAsia="zh-CN"/>
              </w:rPr>
            </w:pPr>
            <w:r>
              <w:rPr>
                <w:rFonts w:hint="eastAsia" w:ascii="宋体" w:hAnsi="宋体" w:eastAsia="宋体" w:cs="宋体"/>
                <w:b/>
                <w:bCs/>
                <w:sz w:val="21"/>
                <w:szCs w:val="21"/>
                <w:lang w:val="en-US" w:eastAsia="zh-CN"/>
              </w:rPr>
              <w:t>厂界噪声：</w:t>
            </w:r>
            <w:r>
              <w:rPr>
                <w:rFonts w:hint="eastAsia" w:ascii="宋体" w:hAnsi="宋体" w:eastAsia="宋体" w:cs="宋体"/>
                <w:sz w:val="21"/>
                <w:szCs w:val="21"/>
                <w:lang w:val="en-US" w:eastAsia="zh-CN"/>
              </w:rPr>
              <w:t>本次监测期间,宝鸡天王机械有限责任公司厂界噪声昼、夜监测结果符合GB 12348-2008 《1业企业厂界环境噪声排放标准》表1中2类标准限值。</w:t>
            </w:r>
          </w:p>
          <w:p>
            <w:pPr>
              <w:spacing w:line="360" w:lineRule="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废气无组织排放</w:t>
            </w:r>
            <w:r>
              <w:rPr>
                <w:rFonts w:hint="eastAsia" w:ascii="宋体" w:hAnsi="宋体" w:eastAsia="宋体" w:cs="宋体"/>
                <w:sz w:val="21"/>
                <w:szCs w:val="21"/>
                <w:lang w:val="en-US" w:eastAsia="zh-CN"/>
              </w:rPr>
              <w:t>：本次监测期间,宝鸡天王机械有限责任公司厂界废气中苯、甲苯、二甲苯、非甲烷总烃无组织排放监测结果符合DB 61/T 1061-2017 《挥发性有机物排放控制标准》表3中浓度限值。</w:t>
            </w:r>
          </w:p>
          <w:p>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废气有组织排放：</w:t>
            </w:r>
            <w:r>
              <w:rPr>
                <w:rFonts w:hint="eastAsia" w:ascii="宋体" w:hAnsi="宋体" w:eastAsia="宋体" w:cs="宋体"/>
                <w:b w:val="0"/>
                <w:bCs w:val="0"/>
                <w:sz w:val="21"/>
                <w:szCs w:val="21"/>
                <w:lang w:val="en-US" w:eastAsia="zh-CN"/>
              </w:rPr>
              <w:t>本次监测期间,宝鸡天王机械有限责任公司刷漆房排气筒出口废气中苯、甲苯、二甲苯、非甲烷总烃浓度监测结果符合DB 61/T 1061-2017 《挥发性有机物排放控制标准》表1中表面涂装排放限值;非甲烷总烃去除效率参照电子产品制造,非甲烷总烃排放速率≤1.5kg/h,等同于满足最低去除效率限制要求。浇铸工序及熔化炉排气筒出口废气中非甲烷总烃、甲醛监测结果符合GB 16297-1996 《大气污染物综合排放标准》表2中二级排放限值;颗粒物监测结果符合GB 9078-1996《工业炉窑大气污染物排放标准》表2二级中排放限值。</w:t>
            </w:r>
          </w:p>
          <w:p>
            <w:pPr>
              <w:pStyle w:val="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drawing>
                <wp:anchor distT="0" distB="0" distL="114300" distR="114300" simplePos="0" relativeHeight="251765760" behindDoc="0" locked="0" layoutInCell="1" allowOverlap="1">
                  <wp:simplePos x="0" y="0"/>
                  <wp:positionH relativeFrom="column">
                    <wp:posOffset>2064385</wp:posOffset>
                  </wp:positionH>
                  <wp:positionV relativeFrom="paragraph">
                    <wp:posOffset>227330</wp:posOffset>
                  </wp:positionV>
                  <wp:extent cx="1941195" cy="2671445"/>
                  <wp:effectExtent l="0" t="0" r="1905" b="8255"/>
                  <wp:wrapNone/>
                  <wp:docPr id="26" name="图片 26" descr="390bad33e148ad8c433e5f237d44b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390bad33e148ad8c433e5f237d44bfe"/>
                          <pic:cNvPicPr>
                            <a:picLocks noChangeAspect="1"/>
                          </pic:cNvPicPr>
                        </pic:nvPicPr>
                        <pic:blipFill>
                          <a:blip r:embed="rId9"/>
                          <a:stretch>
                            <a:fillRect/>
                          </a:stretch>
                        </pic:blipFill>
                        <pic:spPr>
                          <a:xfrm>
                            <a:off x="0" y="0"/>
                            <a:ext cx="1941195" cy="2671445"/>
                          </a:xfrm>
                          <a:prstGeom prst="rect">
                            <a:avLst/>
                          </a:prstGeom>
                        </pic:spPr>
                      </pic:pic>
                    </a:graphicData>
                  </a:graphic>
                </wp:anchor>
              </w:drawing>
            </w:r>
            <w:r>
              <w:rPr>
                <w:rFonts w:hint="eastAsia" w:ascii="宋体" w:hAnsi="宋体" w:eastAsia="宋体" w:cs="宋体"/>
                <w:b w:val="0"/>
                <w:bCs w:val="0"/>
                <w:sz w:val="21"/>
                <w:szCs w:val="21"/>
                <w:lang w:val="en-US" w:eastAsia="zh-CN"/>
              </w:rPr>
              <w:drawing>
                <wp:anchor distT="0" distB="0" distL="114300" distR="114300" simplePos="0" relativeHeight="251764736" behindDoc="0" locked="0" layoutInCell="1" allowOverlap="1">
                  <wp:simplePos x="0" y="0"/>
                  <wp:positionH relativeFrom="column">
                    <wp:posOffset>71120</wp:posOffset>
                  </wp:positionH>
                  <wp:positionV relativeFrom="paragraph">
                    <wp:posOffset>226060</wp:posOffset>
                  </wp:positionV>
                  <wp:extent cx="1829435" cy="2604135"/>
                  <wp:effectExtent l="0" t="0" r="12065" b="12065"/>
                  <wp:wrapNone/>
                  <wp:docPr id="28" name="图片 28" descr="e19f7e9e8ba45935ed2fb33a10d5d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e19f7e9e8ba45935ed2fb33a10d5d0c"/>
                          <pic:cNvPicPr>
                            <a:picLocks noChangeAspect="1"/>
                          </pic:cNvPicPr>
                        </pic:nvPicPr>
                        <pic:blipFill>
                          <a:blip r:embed="rId10"/>
                          <a:stretch>
                            <a:fillRect/>
                          </a:stretch>
                        </pic:blipFill>
                        <pic:spPr>
                          <a:xfrm>
                            <a:off x="0" y="0"/>
                            <a:ext cx="1829435" cy="2604135"/>
                          </a:xfrm>
                          <a:prstGeom prst="rect">
                            <a:avLst/>
                          </a:prstGeom>
                        </pic:spPr>
                      </pic:pic>
                    </a:graphicData>
                  </a:graphic>
                </wp:anchor>
              </w:drawing>
            </w:r>
          </w:p>
          <w:p>
            <w:pPr>
              <w:pStyle w:val="3"/>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drawing>
                <wp:anchor distT="0" distB="0" distL="114300" distR="114300" simplePos="0" relativeHeight="251766784" behindDoc="0" locked="0" layoutInCell="1" allowOverlap="1">
                  <wp:simplePos x="0" y="0"/>
                  <wp:positionH relativeFrom="column">
                    <wp:posOffset>4233545</wp:posOffset>
                  </wp:positionH>
                  <wp:positionV relativeFrom="paragraph">
                    <wp:posOffset>8255</wp:posOffset>
                  </wp:positionV>
                  <wp:extent cx="1847850" cy="2610485"/>
                  <wp:effectExtent l="0" t="0" r="6350" b="5715"/>
                  <wp:wrapNone/>
                  <wp:docPr id="27" name="图片 27" descr="a7445a1ab1907710d2c2fee300a5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a7445a1ab1907710d2c2fee300a5ade"/>
                          <pic:cNvPicPr>
                            <a:picLocks noChangeAspect="1"/>
                          </pic:cNvPicPr>
                        </pic:nvPicPr>
                        <pic:blipFill>
                          <a:blip r:embed="rId11"/>
                          <a:stretch>
                            <a:fillRect/>
                          </a:stretch>
                        </pic:blipFill>
                        <pic:spPr>
                          <a:xfrm>
                            <a:off x="0" y="0"/>
                            <a:ext cx="1847850" cy="2610485"/>
                          </a:xfrm>
                          <a:prstGeom prst="rect">
                            <a:avLst/>
                          </a:prstGeom>
                        </pic:spPr>
                      </pic:pic>
                    </a:graphicData>
                  </a:graphic>
                </wp:anchor>
              </w:drawing>
            </w:r>
          </w:p>
          <w:p>
            <w:pPr>
              <w:pStyle w:val="3"/>
              <w:rPr>
                <w:rFonts w:hint="eastAsia" w:ascii="宋体" w:hAnsi="宋体" w:eastAsia="宋体" w:cs="宋体"/>
                <w:b w:val="0"/>
                <w:bCs w:val="0"/>
                <w:sz w:val="21"/>
                <w:szCs w:val="21"/>
                <w:lang w:val="en-US" w:eastAsia="zh-CN"/>
              </w:rPr>
            </w:pPr>
          </w:p>
          <w:p>
            <w:pPr>
              <w:pStyle w:val="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p>
            <w:pPr>
              <w:pStyle w:val="3"/>
              <w:rPr>
                <w:rFonts w:hint="eastAsia" w:ascii="宋体" w:hAnsi="宋体" w:eastAsia="宋体" w:cs="宋体"/>
                <w:b w:val="0"/>
                <w:bCs w:val="0"/>
                <w:sz w:val="21"/>
                <w:szCs w:val="21"/>
                <w:lang w:val="en-US" w:eastAsia="zh-CN"/>
              </w:rPr>
            </w:pPr>
          </w:p>
          <w:p>
            <w:pPr>
              <w:pStyle w:val="3"/>
              <w:rPr>
                <w:rFonts w:hint="eastAsia" w:ascii="宋体" w:hAnsi="宋体" w:eastAsia="宋体" w:cs="宋体"/>
                <w:b w:val="0"/>
                <w:bCs w:val="0"/>
                <w:sz w:val="21"/>
                <w:szCs w:val="21"/>
                <w:lang w:val="en-US" w:eastAsia="zh-CN"/>
              </w:rPr>
            </w:pPr>
          </w:p>
          <w:p>
            <w:pPr>
              <w:pStyle w:val="3"/>
              <w:rPr>
                <w:rFonts w:hint="eastAsia" w:ascii="宋体" w:hAnsi="宋体" w:eastAsia="宋体" w:cs="宋体"/>
                <w:b w:val="0"/>
                <w:bCs w:val="0"/>
                <w:sz w:val="21"/>
                <w:szCs w:val="21"/>
                <w:lang w:val="en-US" w:eastAsia="zh-CN"/>
              </w:rPr>
            </w:pPr>
          </w:p>
          <w:p>
            <w:pPr>
              <w:pStyle w:val="3"/>
              <w:rPr>
                <w:rFonts w:hint="eastAsia" w:ascii="宋体" w:hAnsi="宋体" w:eastAsia="宋体" w:cs="宋体"/>
                <w:b w:val="0"/>
                <w:bCs w:val="0"/>
                <w:sz w:val="21"/>
                <w:szCs w:val="21"/>
                <w:lang w:val="en-US" w:eastAsia="zh-CN"/>
              </w:rPr>
            </w:pPr>
          </w:p>
          <w:p>
            <w:pPr>
              <w:pStyle w:val="3"/>
              <w:rPr>
                <w:rFonts w:hint="eastAsia" w:ascii="宋体" w:hAnsi="宋体" w:eastAsia="宋体" w:cs="宋体"/>
                <w:b w:val="0"/>
                <w:bCs w:val="0"/>
                <w:sz w:val="21"/>
                <w:szCs w:val="21"/>
                <w:lang w:val="en-US" w:eastAsia="zh-CN"/>
              </w:rPr>
            </w:pPr>
          </w:p>
          <w:p>
            <w:pPr>
              <w:pStyle w:val="3"/>
              <w:rPr>
                <w:rFonts w:hint="eastAsia" w:ascii="宋体" w:hAnsi="宋体" w:eastAsia="宋体" w:cs="宋体"/>
                <w:b w:val="0"/>
                <w:bCs w:val="0"/>
                <w:sz w:val="21"/>
                <w:szCs w:val="21"/>
                <w:lang w:val="en-US" w:eastAsia="zh-CN"/>
              </w:rPr>
            </w:pPr>
          </w:p>
          <w:p>
            <w:pPr>
              <w:pStyle w:val="3"/>
              <w:rPr>
                <w:rFonts w:hint="eastAsia" w:ascii="宋体" w:hAnsi="宋体" w:eastAsia="宋体" w:cs="宋体"/>
                <w:b w:val="0"/>
                <w:bCs w:val="0"/>
                <w:sz w:val="21"/>
                <w:szCs w:val="21"/>
                <w:lang w:val="en-US" w:eastAsia="zh-CN"/>
              </w:rPr>
            </w:pPr>
          </w:p>
          <w:p>
            <w:pPr>
              <w:pStyle w:val="3"/>
              <w:rPr>
                <w:rFonts w:hint="eastAsia" w:ascii="宋体" w:hAnsi="宋体" w:eastAsia="宋体" w:cs="宋体"/>
                <w:b w:val="0"/>
                <w:bCs w:val="0"/>
                <w:sz w:val="21"/>
                <w:szCs w:val="21"/>
                <w:lang w:val="en-US" w:eastAsia="zh-CN"/>
              </w:rPr>
            </w:pPr>
          </w:p>
          <w:p>
            <w:pPr>
              <w:pStyle w:val="3"/>
              <w:rPr>
                <w:rFonts w:hint="eastAsia" w:ascii="宋体" w:hAnsi="宋体" w:eastAsia="宋体" w:cs="宋体"/>
                <w:b w:val="0"/>
                <w:bCs w:val="0"/>
                <w:sz w:val="21"/>
                <w:szCs w:val="21"/>
                <w:lang w:val="en-US" w:eastAsia="zh-CN"/>
              </w:rPr>
            </w:pPr>
          </w:p>
          <w:p>
            <w:pPr>
              <w:pStyle w:val="3"/>
              <w:rPr>
                <w:rFonts w:hint="eastAsia" w:ascii="宋体" w:hAnsi="宋体" w:eastAsia="宋体" w:cs="宋体"/>
                <w:b w:val="0"/>
                <w:bCs w:val="0"/>
                <w:sz w:val="21"/>
                <w:szCs w:val="21"/>
                <w:lang w:val="en-US" w:eastAsia="zh-CN"/>
              </w:rPr>
            </w:pPr>
            <w:r>
              <w:rPr>
                <w:rFonts w:hint="eastAsia" w:ascii="宋体" w:hAnsi="宋体" w:eastAsia="宋体" w:cs="宋体"/>
                <w:sz w:val="21"/>
                <w:szCs w:val="21"/>
                <w:lang w:val="en-US" w:eastAsia="zh-CN"/>
              </w:rPr>
              <w:drawing>
                <wp:anchor distT="0" distB="0" distL="114300" distR="114300" simplePos="0" relativeHeight="251769856" behindDoc="0" locked="0" layoutInCell="1" allowOverlap="1">
                  <wp:simplePos x="0" y="0"/>
                  <wp:positionH relativeFrom="column">
                    <wp:posOffset>4260850</wp:posOffset>
                  </wp:positionH>
                  <wp:positionV relativeFrom="paragraph">
                    <wp:posOffset>76835</wp:posOffset>
                  </wp:positionV>
                  <wp:extent cx="1943735" cy="2663825"/>
                  <wp:effectExtent l="0" t="0" r="12065" b="3175"/>
                  <wp:wrapNone/>
                  <wp:docPr id="31" name="图片 31" descr="d32ed5b06dfb1d65473d2da8402fe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d32ed5b06dfb1d65473d2da8402fec6"/>
                          <pic:cNvPicPr>
                            <a:picLocks noChangeAspect="1"/>
                          </pic:cNvPicPr>
                        </pic:nvPicPr>
                        <pic:blipFill>
                          <a:blip r:embed="rId12"/>
                          <a:stretch>
                            <a:fillRect/>
                          </a:stretch>
                        </pic:blipFill>
                        <pic:spPr>
                          <a:xfrm>
                            <a:off x="0" y="0"/>
                            <a:ext cx="1943735" cy="2663825"/>
                          </a:xfrm>
                          <a:prstGeom prst="rect">
                            <a:avLst/>
                          </a:prstGeom>
                        </pic:spPr>
                      </pic:pic>
                    </a:graphicData>
                  </a:graphic>
                </wp:anchor>
              </w:drawing>
            </w:r>
            <w:r>
              <w:rPr>
                <w:rFonts w:hint="eastAsia" w:ascii="宋体" w:hAnsi="宋体" w:eastAsia="宋体" w:cs="宋体"/>
                <w:sz w:val="21"/>
                <w:szCs w:val="21"/>
                <w:lang w:val="en-US" w:eastAsia="zh-CN"/>
              </w:rPr>
              <w:drawing>
                <wp:anchor distT="0" distB="0" distL="114300" distR="114300" simplePos="0" relativeHeight="251768832" behindDoc="0" locked="0" layoutInCell="1" allowOverlap="1">
                  <wp:simplePos x="0" y="0"/>
                  <wp:positionH relativeFrom="column">
                    <wp:posOffset>2155825</wp:posOffset>
                  </wp:positionH>
                  <wp:positionV relativeFrom="paragraph">
                    <wp:posOffset>44450</wp:posOffset>
                  </wp:positionV>
                  <wp:extent cx="1951355" cy="2763520"/>
                  <wp:effectExtent l="0" t="0" r="4445" b="5080"/>
                  <wp:wrapNone/>
                  <wp:docPr id="29" name="图片 29" descr="11d50bfa858ab58004a895c7c67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1d50bfa858ab58004a895c7c676637"/>
                          <pic:cNvPicPr>
                            <a:picLocks noChangeAspect="1"/>
                          </pic:cNvPicPr>
                        </pic:nvPicPr>
                        <pic:blipFill>
                          <a:blip r:embed="rId13"/>
                          <a:stretch>
                            <a:fillRect/>
                          </a:stretch>
                        </pic:blipFill>
                        <pic:spPr>
                          <a:xfrm>
                            <a:off x="0" y="0"/>
                            <a:ext cx="1951355" cy="2763520"/>
                          </a:xfrm>
                          <a:prstGeom prst="rect">
                            <a:avLst/>
                          </a:prstGeom>
                        </pic:spPr>
                      </pic:pic>
                    </a:graphicData>
                  </a:graphic>
                </wp:anchor>
              </w:drawing>
            </w:r>
            <w:r>
              <w:rPr>
                <w:rFonts w:hint="eastAsia" w:ascii="宋体" w:hAnsi="宋体" w:eastAsia="宋体" w:cs="宋体"/>
                <w:sz w:val="21"/>
                <w:szCs w:val="21"/>
                <w:lang w:val="en-US" w:eastAsia="zh-CN"/>
              </w:rPr>
              <w:drawing>
                <wp:anchor distT="0" distB="0" distL="114300" distR="114300" simplePos="0" relativeHeight="251767808" behindDoc="0" locked="0" layoutInCell="1" allowOverlap="1">
                  <wp:simplePos x="0" y="0"/>
                  <wp:positionH relativeFrom="column">
                    <wp:posOffset>43815</wp:posOffset>
                  </wp:positionH>
                  <wp:positionV relativeFrom="paragraph">
                    <wp:posOffset>50165</wp:posOffset>
                  </wp:positionV>
                  <wp:extent cx="1890395" cy="2672080"/>
                  <wp:effectExtent l="0" t="0" r="1905" b="7620"/>
                  <wp:wrapNone/>
                  <wp:docPr id="30" name="图片 30" descr="9bb683ad667f77af1f53c68656861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9bb683ad667f77af1f53c686568618d"/>
                          <pic:cNvPicPr>
                            <a:picLocks noChangeAspect="1"/>
                          </pic:cNvPicPr>
                        </pic:nvPicPr>
                        <pic:blipFill>
                          <a:blip r:embed="rId14"/>
                          <a:stretch>
                            <a:fillRect/>
                          </a:stretch>
                        </pic:blipFill>
                        <pic:spPr>
                          <a:xfrm>
                            <a:off x="0" y="0"/>
                            <a:ext cx="1890395" cy="2672080"/>
                          </a:xfrm>
                          <a:prstGeom prst="rect">
                            <a:avLst/>
                          </a:prstGeom>
                        </pic:spPr>
                      </pic:pic>
                    </a:graphicData>
                  </a:graphic>
                </wp:anchor>
              </w:drawing>
            </w:r>
          </w:p>
          <w:p>
            <w:pPr>
              <w:pStyle w:val="3"/>
              <w:rPr>
                <w:rFonts w:hint="default" w:ascii="宋体" w:hAnsi="宋体" w:eastAsia="宋体" w:cs="宋体"/>
                <w:b w:val="0"/>
                <w:bCs w:val="0"/>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anchor distT="0" distB="0" distL="114300" distR="114300" simplePos="0" relativeHeight="251771904" behindDoc="0" locked="0" layoutInCell="1" allowOverlap="1">
                  <wp:simplePos x="0" y="0"/>
                  <wp:positionH relativeFrom="column">
                    <wp:posOffset>2120265</wp:posOffset>
                  </wp:positionH>
                  <wp:positionV relativeFrom="paragraph">
                    <wp:posOffset>220345</wp:posOffset>
                  </wp:positionV>
                  <wp:extent cx="1779270" cy="2576830"/>
                  <wp:effectExtent l="0" t="0" r="11430" b="1270"/>
                  <wp:wrapNone/>
                  <wp:docPr id="32" name="图片 32" descr="494f575506e097d6336d25317265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494f575506e097d6336d253172656d6"/>
                          <pic:cNvPicPr>
                            <a:picLocks noChangeAspect="1"/>
                          </pic:cNvPicPr>
                        </pic:nvPicPr>
                        <pic:blipFill>
                          <a:blip r:embed="rId15"/>
                          <a:stretch>
                            <a:fillRect/>
                          </a:stretch>
                        </pic:blipFill>
                        <pic:spPr>
                          <a:xfrm>
                            <a:off x="0" y="0"/>
                            <a:ext cx="1779270" cy="2576830"/>
                          </a:xfrm>
                          <a:prstGeom prst="rect">
                            <a:avLst/>
                          </a:prstGeom>
                        </pic:spPr>
                      </pic:pic>
                    </a:graphicData>
                  </a:graphic>
                </wp:anchor>
              </w:drawing>
            </w:r>
            <w:r>
              <w:rPr>
                <w:rFonts w:hint="eastAsia" w:ascii="宋体" w:hAnsi="宋体" w:eastAsia="宋体" w:cs="宋体"/>
                <w:sz w:val="21"/>
                <w:szCs w:val="21"/>
                <w:lang w:val="en-US" w:eastAsia="zh-CN"/>
              </w:rPr>
              <w:drawing>
                <wp:anchor distT="0" distB="0" distL="114300" distR="114300" simplePos="0" relativeHeight="251770880" behindDoc="0" locked="0" layoutInCell="1" allowOverlap="1">
                  <wp:simplePos x="0" y="0"/>
                  <wp:positionH relativeFrom="column">
                    <wp:posOffset>54610</wp:posOffset>
                  </wp:positionH>
                  <wp:positionV relativeFrom="paragraph">
                    <wp:posOffset>205105</wp:posOffset>
                  </wp:positionV>
                  <wp:extent cx="1820545" cy="2668905"/>
                  <wp:effectExtent l="0" t="0" r="8255" b="10795"/>
                  <wp:wrapNone/>
                  <wp:docPr id="33" name="图片 33" descr="8da0866fe72d9d23d23b097f8336b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8da0866fe72d9d23d23b097f8336b76"/>
                          <pic:cNvPicPr>
                            <a:picLocks noChangeAspect="1"/>
                          </pic:cNvPicPr>
                        </pic:nvPicPr>
                        <pic:blipFill>
                          <a:blip r:embed="rId16"/>
                          <a:stretch>
                            <a:fillRect/>
                          </a:stretch>
                        </pic:blipFill>
                        <pic:spPr>
                          <a:xfrm>
                            <a:off x="0" y="0"/>
                            <a:ext cx="1820545" cy="2668905"/>
                          </a:xfrm>
                          <a:prstGeom prst="rect">
                            <a:avLst/>
                          </a:prstGeom>
                        </pic:spPr>
                      </pic:pic>
                    </a:graphicData>
                  </a:graphic>
                </wp:anchor>
              </w:drawing>
            </w: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pStyle w:val="3"/>
              <w:ind w:left="0" w:leftChars="0" w:firstLine="0" w:firstLineChars="0"/>
              <w:rPr>
                <w:rFonts w:hint="eastAsia" w:ascii="宋体" w:hAnsi="宋体" w:eastAsia="宋体" w:cs="宋体"/>
                <w:sz w:val="21"/>
                <w:szCs w:val="21"/>
                <w:lang w:val="en-US" w:eastAsia="zh-CN"/>
              </w:rPr>
            </w:pPr>
          </w:p>
          <w:p>
            <w:pPr>
              <w:widowControl/>
              <w:spacing w:line="360" w:lineRule="auto"/>
              <w:jc w:val="left"/>
              <w:rPr>
                <w:rFonts w:hint="eastAsia" w:ascii="宋体" w:hAnsi="宋体" w:eastAsia="宋体" w:cs="宋体"/>
                <w:sz w:val="21"/>
                <w:szCs w:val="21"/>
              </w:rPr>
            </w:pPr>
          </w:p>
          <w:p>
            <w:pPr>
              <w:widowControl/>
              <w:spacing w:line="360" w:lineRule="auto"/>
              <w:ind w:left="480" w:lef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经交流公司无用于环境监测的设备。</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合规性评价</w:t>
            </w:r>
          </w:p>
        </w:tc>
        <w:tc>
          <w:tcPr>
            <w:tcW w:w="1311"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9.1.2</w:t>
            </w:r>
          </w:p>
        </w:tc>
        <w:tc>
          <w:tcPr>
            <w:tcW w:w="10004" w:type="dxa"/>
            <w:vAlign w:val="center"/>
          </w:tcPr>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现场提供了“环境合规性评价表”,对公司的清洗地面、生活废水、生活垃圾、办公垃圾、生产中产生的下脚料等、生产噪声的排放、电能的消耗、原材料消耗、资源的消耗、安全生产、国家、省市提出环境因素要求等方面进行了法律法规及其他要求的遵守情况进行了评价，评价结论均为符合。</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评价人：</w:t>
            </w:r>
            <w:r>
              <w:rPr>
                <w:rFonts w:hint="eastAsia" w:ascii="宋体" w:hAnsi="宋体" w:eastAsia="宋体" w:cs="宋体"/>
                <w:sz w:val="21"/>
                <w:szCs w:val="21"/>
                <w:lang w:val="en-US" w:eastAsia="zh-CN"/>
              </w:rPr>
              <w:t>黎张礼</w:t>
            </w:r>
            <w:r>
              <w:rPr>
                <w:rFonts w:hint="eastAsia" w:ascii="宋体" w:hAnsi="宋体" w:eastAsia="宋体" w:cs="宋体"/>
                <w:sz w:val="21"/>
                <w:szCs w:val="21"/>
              </w:rPr>
              <w:t>、</w:t>
            </w:r>
            <w:r>
              <w:rPr>
                <w:rFonts w:hint="eastAsia" w:ascii="宋体" w:hAnsi="宋体" w:eastAsia="宋体" w:cs="宋体"/>
                <w:sz w:val="21"/>
                <w:szCs w:val="21"/>
                <w:lang w:val="en-US" w:eastAsia="zh-CN"/>
              </w:rPr>
              <w:t>鲁鹏</w:t>
            </w:r>
            <w:r>
              <w:rPr>
                <w:rFonts w:hint="eastAsia" w:ascii="宋体" w:hAnsi="宋体" w:eastAsia="宋体" w:cs="宋体"/>
                <w:sz w:val="21"/>
                <w:szCs w:val="21"/>
              </w:rPr>
              <w:t>等，日期：20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1</w:t>
            </w:r>
            <w:r>
              <w:rPr>
                <w:rFonts w:hint="eastAsia" w:ascii="宋体" w:hAnsi="宋体" w:eastAsia="宋体" w:cs="宋体"/>
                <w:sz w:val="21"/>
                <w:szCs w:val="21"/>
              </w:rPr>
              <w:t>月</w:t>
            </w:r>
            <w:r>
              <w:rPr>
                <w:rFonts w:hint="eastAsia" w:ascii="宋体" w:hAnsi="宋体" w:cs="宋体"/>
                <w:sz w:val="21"/>
                <w:szCs w:val="21"/>
                <w:lang w:val="en-US" w:eastAsia="zh-CN"/>
              </w:rPr>
              <w:t>20</w:t>
            </w:r>
            <w:r>
              <w:rPr>
                <w:rFonts w:hint="eastAsia" w:ascii="宋体" w:hAnsi="宋体" w:eastAsia="宋体" w:cs="宋体"/>
                <w:sz w:val="21"/>
                <w:szCs w:val="21"/>
              </w:rPr>
              <w:t>日。</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内部审核</w:t>
            </w:r>
          </w:p>
        </w:tc>
        <w:tc>
          <w:tcPr>
            <w:tcW w:w="1311"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9.2 </w:t>
            </w:r>
          </w:p>
        </w:tc>
        <w:tc>
          <w:tcPr>
            <w:tcW w:w="10004" w:type="dxa"/>
            <w:vAlign w:val="top"/>
          </w:tcPr>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由组长</w:t>
            </w:r>
            <w:r>
              <w:rPr>
                <w:rFonts w:hint="eastAsia" w:ascii="宋体" w:hAnsi="宋体" w:eastAsia="宋体" w:cs="宋体"/>
                <w:sz w:val="21"/>
                <w:szCs w:val="21"/>
                <w:lang w:val="en-US" w:eastAsia="zh-CN"/>
              </w:rPr>
              <w:t>黎张礼</w:t>
            </w:r>
            <w:r>
              <w:rPr>
                <w:rFonts w:hint="eastAsia" w:ascii="宋体" w:hAnsi="宋体" w:eastAsia="宋体" w:cs="宋体"/>
                <w:sz w:val="21"/>
                <w:szCs w:val="21"/>
              </w:rPr>
              <w:t>组织内部审核，查年度审核计划：提供《内部审核计划》，其内容已包括了审核目的、范围、依据。</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审核组构成：组长</w:t>
            </w:r>
            <w:r>
              <w:rPr>
                <w:rFonts w:hint="eastAsia" w:ascii="宋体" w:hAnsi="宋体" w:eastAsia="宋体" w:cs="宋体"/>
                <w:sz w:val="21"/>
                <w:szCs w:val="21"/>
                <w:lang w:val="en-US" w:eastAsia="zh-CN"/>
              </w:rPr>
              <w:t>黎张礼</w:t>
            </w:r>
            <w:r>
              <w:rPr>
                <w:rFonts w:hint="eastAsia" w:ascii="宋体" w:hAnsi="宋体" w:eastAsia="宋体" w:cs="宋体"/>
                <w:sz w:val="21"/>
                <w:szCs w:val="21"/>
              </w:rPr>
              <w:t>、组员</w:t>
            </w:r>
            <w:r>
              <w:rPr>
                <w:rFonts w:hint="eastAsia" w:ascii="宋体" w:hAnsi="宋体" w:eastAsia="宋体" w:cs="宋体"/>
                <w:sz w:val="21"/>
                <w:szCs w:val="21"/>
                <w:lang w:eastAsia="zh-CN"/>
              </w:rPr>
              <w:t>：</w:t>
            </w:r>
            <w:r>
              <w:rPr>
                <w:rFonts w:hint="eastAsia" w:ascii="宋体" w:hAnsi="宋体" w:eastAsia="宋体" w:cs="宋体"/>
                <w:sz w:val="21"/>
                <w:szCs w:val="21"/>
              </w:rPr>
              <w:t xml:space="preserve">严伟 </w:t>
            </w:r>
            <w:r>
              <w:rPr>
                <w:rFonts w:hint="eastAsia" w:ascii="宋体" w:hAnsi="宋体" w:eastAsia="宋体" w:cs="宋体"/>
                <w:sz w:val="21"/>
                <w:szCs w:val="21"/>
                <w:lang w:eastAsia="zh-CN"/>
              </w:rPr>
              <w:t>、</w:t>
            </w:r>
            <w:r>
              <w:rPr>
                <w:rFonts w:hint="eastAsia" w:ascii="宋体" w:hAnsi="宋体" w:eastAsia="宋体" w:cs="宋体"/>
                <w:sz w:val="21"/>
                <w:szCs w:val="21"/>
              </w:rPr>
              <w:t>梁春荣。</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1.审核时间20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8</w:t>
            </w:r>
            <w:r>
              <w:rPr>
                <w:rFonts w:hint="eastAsia" w:ascii="宋体" w:hAnsi="宋体" w:eastAsia="宋体" w:cs="宋体"/>
                <w:sz w:val="21"/>
                <w:szCs w:val="21"/>
              </w:rPr>
              <w:t>月</w:t>
            </w:r>
            <w:r>
              <w:rPr>
                <w:rFonts w:hint="eastAsia" w:ascii="宋体" w:hAnsi="宋体" w:cs="宋体"/>
                <w:sz w:val="21"/>
                <w:szCs w:val="21"/>
                <w:lang w:val="en-US" w:eastAsia="zh-CN"/>
              </w:rPr>
              <w:t>15-16</w:t>
            </w:r>
            <w:r>
              <w:rPr>
                <w:rFonts w:hint="eastAsia" w:ascii="宋体" w:hAnsi="宋体" w:eastAsia="宋体" w:cs="宋体"/>
                <w:sz w:val="21"/>
                <w:szCs w:val="21"/>
              </w:rPr>
              <w:t>日，</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2.审核按计划进行，抽查检查表办公室、</w:t>
            </w:r>
            <w:r>
              <w:rPr>
                <w:rFonts w:hint="eastAsia" w:ascii="宋体" w:hAnsi="宋体" w:eastAsia="宋体" w:cs="宋体"/>
                <w:sz w:val="21"/>
                <w:szCs w:val="21"/>
                <w:lang w:val="en-US" w:eastAsia="zh-CN"/>
              </w:rPr>
              <w:t>品质</w:t>
            </w:r>
            <w:r>
              <w:rPr>
                <w:rFonts w:hint="eastAsia" w:ascii="宋体" w:hAnsi="宋体" w:eastAsia="宋体" w:cs="宋体"/>
                <w:sz w:val="21"/>
                <w:szCs w:val="21"/>
              </w:rPr>
              <w:t>部、生产部审核记录与计划相一致，内审员经内部培训合格，能力还需加强；</w:t>
            </w:r>
          </w:p>
          <w:p>
            <w:pPr>
              <w:spacing w:line="360" w:lineRule="auto"/>
              <w:rPr>
                <w:rFonts w:hint="eastAsia" w:ascii="宋体" w:hAnsi="宋体" w:eastAsia="宋体" w:cs="宋体"/>
                <w:sz w:val="21"/>
                <w:szCs w:val="21"/>
              </w:rPr>
            </w:pPr>
            <w:r>
              <w:rPr>
                <w:rFonts w:hint="eastAsia" w:ascii="宋体" w:hAnsi="宋体" w:eastAsia="宋体" w:cs="宋体"/>
                <w:sz w:val="21"/>
                <w:szCs w:val="21"/>
              </w:rPr>
              <w:t>审核计划已考虑到互查的公正性，无审核员审核本部门的工作，计划内容涉及各部门，条款覆盖整个体系。本次内审发现</w:t>
            </w:r>
            <w:r>
              <w:rPr>
                <w:rFonts w:hint="eastAsia" w:ascii="宋体" w:hAnsi="宋体" w:eastAsia="宋体" w:cs="宋体"/>
                <w:sz w:val="21"/>
                <w:szCs w:val="21"/>
                <w:lang w:val="en-US" w:eastAsia="zh-CN"/>
              </w:rPr>
              <w:t>1</w:t>
            </w:r>
            <w:r>
              <w:rPr>
                <w:rFonts w:hint="eastAsia" w:ascii="宋体" w:hAnsi="宋体" w:eastAsia="宋体" w:cs="宋体"/>
                <w:sz w:val="21"/>
                <w:szCs w:val="21"/>
              </w:rPr>
              <w:t>个一般不符合项，针对这</w:t>
            </w:r>
            <w:r>
              <w:rPr>
                <w:rFonts w:hint="eastAsia" w:ascii="宋体" w:hAnsi="宋体" w:eastAsia="宋体" w:cs="宋体"/>
                <w:sz w:val="21"/>
                <w:szCs w:val="21"/>
                <w:lang w:val="en-US" w:eastAsia="zh-CN"/>
              </w:rPr>
              <w:t>1</w:t>
            </w:r>
            <w:r>
              <w:rPr>
                <w:rFonts w:hint="eastAsia" w:ascii="宋体" w:hAnsi="宋体" w:eastAsia="宋体" w:cs="宋体"/>
                <w:sz w:val="21"/>
                <w:szCs w:val="21"/>
              </w:rPr>
              <w:t>个不合格，责任部门已分析了原因并采取了纠正措施，按要求进行了整改，最后内审员进行了验证，纠正措施实施有效。</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内部审核结论：提供了《内部审核报告》，对现场审核进行了综述，对环境管理体系进行了符合性的综合评价，最后结论为：公司的环境管理体系基本符合标准要求，运行有效。</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不合格和纠正措施</w:t>
            </w:r>
          </w:p>
        </w:tc>
        <w:tc>
          <w:tcPr>
            <w:tcW w:w="1311"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10.2</w:t>
            </w:r>
          </w:p>
        </w:tc>
        <w:tc>
          <w:tcPr>
            <w:tcW w:w="10004" w:type="dxa"/>
            <w:vAlign w:val="top"/>
          </w:tcPr>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境意识有较大的提高，持续改进了管理体系的有效性。</w:t>
            </w:r>
          </w:p>
        </w:tc>
        <w:tc>
          <w:tcPr>
            <w:tcW w:w="1585" w:type="dxa"/>
          </w:tcPr>
          <w:p>
            <w:pPr>
              <w:spacing w:line="360" w:lineRule="auto"/>
              <w:rPr>
                <w:rFonts w:hint="eastAsia" w:ascii="宋体" w:hAnsi="宋体" w:eastAsia="宋体" w:cs="宋体"/>
                <w:sz w:val="21"/>
                <w:szCs w:val="21"/>
              </w:rPr>
            </w:pPr>
          </w:p>
        </w:tc>
      </w:tr>
    </w:tbl>
    <w:p>
      <w:pPr>
        <w:rPr>
          <w:rFonts w:ascii="楷体" w:hAnsi="楷体" w:eastAsia="楷体"/>
        </w:rPr>
      </w:pPr>
      <w:r>
        <w:rPr>
          <w:rFonts w:ascii="楷体" w:hAnsi="楷体" w:eastAsia="楷体"/>
        </w:rPr>
        <w:ptab w:relativeTo="margin" w:alignment="center" w:leader="none"/>
      </w:r>
    </w:p>
    <w:p>
      <w:pPr>
        <w:rPr>
          <w:rFonts w:ascii="楷体" w:hAnsi="楷体" w:eastAsia="楷体"/>
        </w:rPr>
      </w:pPr>
    </w:p>
    <w:p>
      <w:pPr>
        <w:pStyle w:val="5"/>
        <w:rPr>
          <w:rFonts w:ascii="楷体" w:hAnsi="楷体" w:eastAsia="楷体"/>
        </w:rPr>
      </w:pPr>
      <w:r>
        <w:rPr>
          <w:rFonts w:hint="eastAsia" w:ascii="楷体" w:hAnsi="楷体" w:eastAsia="楷体"/>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252A"/>
    <w:rsid w:val="00004817"/>
    <w:rsid w:val="0000489C"/>
    <w:rsid w:val="00010A8E"/>
    <w:rsid w:val="00011131"/>
    <w:rsid w:val="000214B6"/>
    <w:rsid w:val="000235CA"/>
    <w:rsid w:val="0002531E"/>
    <w:rsid w:val="00030AA3"/>
    <w:rsid w:val="00032F7B"/>
    <w:rsid w:val="0003373A"/>
    <w:rsid w:val="000412F6"/>
    <w:rsid w:val="00042D65"/>
    <w:rsid w:val="0005199E"/>
    <w:rsid w:val="0005359F"/>
    <w:rsid w:val="0005697E"/>
    <w:rsid w:val="000579CF"/>
    <w:rsid w:val="00060140"/>
    <w:rsid w:val="00065492"/>
    <w:rsid w:val="0008023B"/>
    <w:rsid w:val="00082216"/>
    <w:rsid w:val="00082398"/>
    <w:rsid w:val="000849D2"/>
    <w:rsid w:val="000877AB"/>
    <w:rsid w:val="00093FDD"/>
    <w:rsid w:val="000A5E44"/>
    <w:rsid w:val="000B1394"/>
    <w:rsid w:val="000B40BD"/>
    <w:rsid w:val="000B4ACA"/>
    <w:rsid w:val="000C123B"/>
    <w:rsid w:val="000C162C"/>
    <w:rsid w:val="000C3C79"/>
    <w:rsid w:val="000C7911"/>
    <w:rsid w:val="000D32BB"/>
    <w:rsid w:val="000D5401"/>
    <w:rsid w:val="000D697A"/>
    <w:rsid w:val="000E2B69"/>
    <w:rsid w:val="000E7EF7"/>
    <w:rsid w:val="000F35F1"/>
    <w:rsid w:val="000F5F5A"/>
    <w:rsid w:val="00101BDE"/>
    <w:rsid w:val="001022F1"/>
    <w:rsid w:val="001037D5"/>
    <w:rsid w:val="001100F4"/>
    <w:rsid w:val="001149D1"/>
    <w:rsid w:val="00124A3B"/>
    <w:rsid w:val="00125F87"/>
    <w:rsid w:val="00126162"/>
    <w:rsid w:val="001345D8"/>
    <w:rsid w:val="001437F6"/>
    <w:rsid w:val="00145688"/>
    <w:rsid w:val="00151406"/>
    <w:rsid w:val="00151B98"/>
    <w:rsid w:val="00156AF7"/>
    <w:rsid w:val="001677C1"/>
    <w:rsid w:val="00176411"/>
    <w:rsid w:val="00180285"/>
    <w:rsid w:val="00181073"/>
    <w:rsid w:val="001918ED"/>
    <w:rsid w:val="00192A7F"/>
    <w:rsid w:val="00197FAD"/>
    <w:rsid w:val="001A0040"/>
    <w:rsid w:val="001A2D7F"/>
    <w:rsid w:val="001A3DF8"/>
    <w:rsid w:val="001A572D"/>
    <w:rsid w:val="001B3708"/>
    <w:rsid w:val="001B6D1E"/>
    <w:rsid w:val="001D3A47"/>
    <w:rsid w:val="001D4AD8"/>
    <w:rsid w:val="001D54FF"/>
    <w:rsid w:val="001E1974"/>
    <w:rsid w:val="001E39A8"/>
    <w:rsid w:val="001E57EA"/>
    <w:rsid w:val="001F00D7"/>
    <w:rsid w:val="001F0E74"/>
    <w:rsid w:val="001F4B9E"/>
    <w:rsid w:val="001F581C"/>
    <w:rsid w:val="00202BC2"/>
    <w:rsid w:val="00214113"/>
    <w:rsid w:val="00215081"/>
    <w:rsid w:val="002221D5"/>
    <w:rsid w:val="00222532"/>
    <w:rsid w:val="00223BE3"/>
    <w:rsid w:val="00233B02"/>
    <w:rsid w:val="00234FA5"/>
    <w:rsid w:val="00237445"/>
    <w:rsid w:val="00237878"/>
    <w:rsid w:val="00256D61"/>
    <w:rsid w:val="00260151"/>
    <w:rsid w:val="002651A6"/>
    <w:rsid w:val="00277EAD"/>
    <w:rsid w:val="0028428D"/>
    <w:rsid w:val="002973F0"/>
    <w:rsid w:val="002975C1"/>
    <w:rsid w:val="002A0E6E"/>
    <w:rsid w:val="002A33CC"/>
    <w:rsid w:val="002B1808"/>
    <w:rsid w:val="002C1ACE"/>
    <w:rsid w:val="002C3E0D"/>
    <w:rsid w:val="002D41FB"/>
    <w:rsid w:val="002E0587"/>
    <w:rsid w:val="002E0FDE"/>
    <w:rsid w:val="002E1E1D"/>
    <w:rsid w:val="002E54D2"/>
    <w:rsid w:val="002F33E7"/>
    <w:rsid w:val="00306C8C"/>
    <w:rsid w:val="003224A1"/>
    <w:rsid w:val="00326F44"/>
    <w:rsid w:val="00326FC1"/>
    <w:rsid w:val="00337922"/>
    <w:rsid w:val="00340867"/>
    <w:rsid w:val="00341502"/>
    <w:rsid w:val="00342857"/>
    <w:rsid w:val="0034579A"/>
    <w:rsid w:val="003466A4"/>
    <w:rsid w:val="00355BF0"/>
    <w:rsid w:val="003608CB"/>
    <w:rsid w:val="0036159B"/>
    <w:rsid w:val="003627B6"/>
    <w:rsid w:val="003708D5"/>
    <w:rsid w:val="00373382"/>
    <w:rsid w:val="00374458"/>
    <w:rsid w:val="003777AD"/>
    <w:rsid w:val="0038061A"/>
    <w:rsid w:val="0038063B"/>
    <w:rsid w:val="00380837"/>
    <w:rsid w:val="003812DF"/>
    <w:rsid w:val="00382EDD"/>
    <w:rsid w:val="003836CA"/>
    <w:rsid w:val="00385573"/>
    <w:rsid w:val="003861E2"/>
    <w:rsid w:val="00386A98"/>
    <w:rsid w:val="00394C7B"/>
    <w:rsid w:val="003A1E9C"/>
    <w:rsid w:val="003A7C94"/>
    <w:rsid w:val="003D0E86"/>
    <w:rsid w:val="003D60E0"/>
    <w:rsid w:val="003D6BE3"/>
    <w:rsid w:val="003E0E52"/>
    <w:rsid w:val="003F20A5"/>
    <w:rsid w:val="003F7CF2"/>
    <w:rsid w:val="00400B96"/>
    <w:rsid w:val="00402F6A"/>
    <w:rsid w:val="00405D5F"/>
    <w:rsid w:val="00410370"/>
    <w:rsid w:val="00410914"/>
    <w:rsid w:val="00415AA3"/>
    <w:rsid w:val="00415D90"/>
    <w:rsid w:val="00420C60"/>
    <w:rsid w:val="00430432"/>
    <w:rsid w:val="00433759"/>
    <w:rsid w:val="0043494E"/>
    <w:rsid w:val="004414A5"/>
    <w:rsid w:val="00452E7C"/>
    <w:rsid w:val="00456697"/>
    <w:rsid w:val="00462AA6"/>
    <w:rsid w:val="00463C32"/>
    <w:rsid w:val="004654D1"/>
    <w:rsid w:val="00465FE1"/>
    <w:rsid w:val="004727C9"/>
    <w:rsid w:val="004750FD"/>
    <w:rsid w:val="00475491"/>
    <w:rsid w:val="0048097F"/>
    <w:rsid w:val="00481002"/>
    <w:rsid w:val="004869FB"/>
    <w:rsid w:val="00491735"/>
    <w:rsid w:val="004926B3"/>
    <w:rsid w:val="00494A46"/>
    <w:rsid w:val="00494C7B"/>
    <w:rsid w:val="004962AC"/>
    <w:rsid w:val="00496372"/>
    <w:rsid w:val="004B217F"/>
    <w:rsid w:val="004B3E7F"/>
    <w:rsid w:val="004C07FE"/>
    <w:rsid w:val="004C3690"/>
    <w:rsid w:val="004C3A5F"/>
    <w:rsid w:val="004D3E4C"/>
    <w:rsid w:val="004D4458"/>
    <w:rsid w:val="004D4B22"/>
    <w:rsid w:val="004E59CF"/>
    <w:rsid w:val="004E5BD5"/>
    <w:rsid w:val="004F185D"/>
    <w:rsid w:val="00502D28"/>
    <w:rsid w:val="005056ED"/>
    <w:rsid w:val="00517E4C"/>
    <w:rsid w:val="00521CF0"/>
    <w:rsid w:val="0053208B"/>
    <w:rsid w:val="00534814"/>
    <w:rsid w:val="00534DD9"/>
    <w:rsid w:val="00536930"/>
    <w:rsid w:val="00560A2A"/>
    <w:rsid w:val="00564E53"/>
    <w:rsid w:val="00572CCA"/>
    <w:rsid w:val="005745EC"/>
    <w:rsid w:val="00583277"/>
    <w:rsid w:val="00583BED"/>
    <w:rsid w:val="00592857"/>
    <w:rsid w:val="00592C3E"/>
    <w:rsid w:val="005A000F"/>
    <w:rsid w:val="005A4C5B"/>
    <w:rsid w:val="005B173D"/>
    <w:rsid w:val="005B6888"/>
    <w:rsid w:val="005C0D1F"/>
    <w:rsid w:val="005C4CA2"/>
    <w:rsid w:val="005C5115"/>
    <w:rsid w:val="005D0D01"/>
    <w:rsid w:val="005D22A5"/>
    <w:rsid w:val="005E33D9"/>
    <w:rsid w:val="005F2334"/>
    <w:rsid w:val="005F4AF1"/>
    <w:rsid w:val="005F6C65"/>
    <w:rsid w:val="006006C4"/>
    <w:rsid w:val="00600F02"/>
    <w:rsid w:val="0060444D"/>
    <w:rsid w:val="00610C94"/>
    <w:rsid w:val="00621348"/>
    <w:rsid w:val="00621D29"/>
    <w:rsid w:val="00630A26"/>
    <w:rsid w:val="006361FB"/>
    <w:rsid w:val="00642776"/>
    <w:rsid w:val="00644FE2"/>
    <w:rsid w:val="00645FB8"/>
    <w:rsid w:val="00651986"/>
    <w:rsid w:val="00652DFC"/>
    <w:rsid w:val="006545E8"/>
    <w:rsid w:val="00656E2A"/>
    <w:rsid w:val="006627EE"/>
    <w:rsid w:val="00662FF2"/>
    <w:rsid w:val="00664736"/>
    <w:rsid w:val="00665980"/>
    <w:rsid w:val="00673E66"/>
    <w:rsid w:val="0067581B"/>
    <w:rsid w:val="0067640C"/>
    <w:rsid w:val="0068007F"/>
    <w:rsid w:val="006807B1"/>
    <w:rsid w:val="006836D9"/>
    <w:rsid w:val="00686072"/>
    <w:rsid w:val="00695256"/>
    <w:rsid w:val="00695570"/>
    <w:rsid w:val="00696AF1"/>
    <w:rsid w:val="006A0DCD"/>
    <w:rsid w:val="006A3B31"/>
    <w:rsid w:val="006A68F3"/>
    <w:rsid w:val="006B0BEB"/>
    <w:rsid w:val="006B4127"/>
    <w:rsid w:val="006B6EE2"/>
    <w:rsid w:val="006B72BE"/>
    <w:rsid w:val="006C04DD"/>
    <w:rsid w:val="006C24BF"/>
    <w:rsid w:val="006C40B9"/>
    <w:rsid w:val="006C5AA3"/>
    <w:rsid w:val="006E407E"/>
    <w:rsid w:val="006E678B"/>
    <w:rsid w:val="006F7C2F"/>
    <w:rsid w:val="0070237F"/>
    <w:rsid w:val="0070367F"/>
    <w:rsid w:val="00712F3C"/>
    <w:rsid w:val="00714173"/>
    <w:rsid w:val="00715738"/>
    <w:rsid w:val="0071649B"/>
    <w:rsid w:val="007170AA"/>
    <w:rsid w:val="00722449"/>
    <w:rsid w:val="007273CC"/>
    <w:rsid w:val="00730F43"/>
    <w:rsid w:val="00732B66"/>
    <w:rsid w:val="00734814"/>
    <w:rsid w:val="00736C7A"/>
    <w:rsid w:val="00737C8F"/>
    <w:rsid w:val="007406DE"/>
    <w:rsid w:val="00741CA3"/>
    <w:rsid w:val="00743E79"/>
    <w:rsid w:val="00744BEA"/>
    <w:rsid w:val="00751532"/>
    <w:rsid w:val="00751C37"/>
    <w:rsid w:val="0075769B"/>
    <w:rsid w:val="007664EF"/>
    <w:rsid w:val="007757F3"/>
    <w:rsid w:val="00775945"/>
    <w:rsid w:val="007815DC"/>
    <w:rsid w:val="007910AF"/>
    <w:rsid w:val="007A168A"/>
    <w:rsid w:val="007A47FB"/>
    <w:rsid w:val="007A621C"/>
    <w:rsid w:val="007A637D"/>
    <w:rsid w:val="007B106B"/>
    <w:rsid w:val="007B275D"/>
    <w:rsid w:val="007D25A2"/>
    <w:rsid w:val="007D77E6"/>
    <w:rsid w:val="007E4421"/>
    <w:rsid w:val="007E6AEB"/>
    <w:rsid w:val="007F01EC"/>
    <w:rsid w:val="007F4F96"/>
    <w:rsid w:val="007F69CE"/>
    <w:rsid w:val="007F7DF2"/>
    <w:rsid w:val="00805D85"/>
    <w:rsid w:val="008079FA"/>
    <w:rsid w:val="00810D58"/>
    <w:rsid w:val="008252FE"/>
    <w:rsid w:val="00832168"/>
    <w:rsid w:val="00832BCD"/>
    <w:rsid w:val="008353F3"/>
    <w:rsid w:val="00835B31"/>
    <w:rsid w:val="00841149"/>
    <w:rsid w:val="00843E60"/>
    <w:rsid w:val="00854CE0"/>
    <w:rsid w:val="0085565C"/>
    <w:rsid w:val="008646DE"/>
    <w:rsid w:val="0086487E"/>
    <w:rsid w:val="00864902"/>
    <w:rsid w:val="00864BE7"/>
    <w:rsid w:val="00865200"/>
    <w:rsid w:val="00871662"/>
    <w:rsid w:val="00871695"/>
    <w:rsid w:val="00886221"/>
    <w:rsid w:val="00891C25"/>
    <w:rsid w:val="008942F3"/>
    <w:rsid w:val="00895162"/>
    <w:rsid w:val="00895CD0"/>
    <w:rsid w:val="008973EE"/>
    <w:rsid w:val="008A3BE8"/>
    <w:rsid w:val="008A45D1"/>
    <w:rsid w:val="008D089D"/>
    <w:rsid w:val="008E4ACD"/>
    <w:rsid w:val="008F0B04"/>
    <w:rsid w:val="008F7C55"/>
    <w:rsid w:val="00903041"/>
    <w:rsid w:val="00912EC2"/>
    <w:rsid w:val="00925E9B"/>
    <w:rsid w:val="00927A5E"/>
    <w:rsid w:val="00930694"/>
    <w:rsid w:val="0093521F"/>
    <w:rsid w:val="0094313D"/>
    <w:rsid w:val="00945677"/>
    <w:rsid w:val="00955B84"/>
    <w:rsid w:val="00962F78"/>
    <w:rsid w:val="009635D2"/>
    <w:rsid w:val="0096609F"/>
    <w:rsid w:val="009666D5"/>
    <w:rsid w:val="00971600"/>
    <w:rsid w:val="00977143"/>
    <w:rsid w:val="00984342"/>
    <w:rsid w:val="009973B4"/>
    <w:rsid w:val="00997ED5"/>
    <w:rsid w:val="009A1F39"/>
    <w:rsid w:val="009A2CBA"/>
    <w:rsid w:val="009A7CA5"/>
    <w:rsid w:val="009B7EB8"/>
    <w:rsid w:val="009D56D9"/>
    <w:rsid w:val="009E30DA"/>
    <w:rsid w:val="009E6193"/>
    <w:rsid w:val="009E7DD1"/>
    <w:rsid w:val="009F54EA"/>
    <w:rsid w:val="009F7EED"/>
    <w:rsid w:val="00A11CE2"/>
    <w:rsid w:val="00A138EC"/>
    <w:rsid w:val="00A141BA"/>
    <w:rsid w:val="00A16BEC"/>
    <w:rsid w:val="00A207A9"/>
    <w:rsid w:val="00A213BB"/>
    <w:rsid w:val="00A242B7"/>
    <w:rsid w:val="00A30AF3"/>
    <w:rsid w:val="00A41ECE"/>
    <w:rsid w:val="00A71BDD"/>
    <w:rsid w:val="00A74274"/>
    <w:rsid w:val="00A801DE"/>
    <w:rsid w:val="00A90A22"/>
    <w:rsid w:val="00A9370D"/>
    <w:rsid w:val="00A971DB"/>
    <w:rsid w:val="00A97734"/>
    <w:rsid w:val="00AA5AAA"/>
    <w:rsid w:val="00AA7F40"/>
    <w:rsid w:val="00AB41FC"/>
    <w:rsid w:val="00AB7D2F"/>
    <w:rsid w:val="00AD1550"/>
    <w:rsid w:val="00AD1604"/>
    <w:rsid w:val="00AD59BA"/>
    <w:rsid w:val="00AD6F34"/>
    <w:rsid w:val="00AE173F"/>
    <w:rsid w:val="00AE5F74"/>
    <w:rsid w:val="00AF08A3"/>
    <w:rsid w:val="00AF0AAB"/>
    <w:rsid w:val="00AF566B"/>
    <w:rsid w:val="00AF616B"/>
    <w:rsid w:val="00B01A4E"/>
    <w:rsid w:val="00B01BD1"/>
    <w:rsid w:val="00B0458E"/>
    <w:rsid w:val="00B047A6"/>
    <w:rsid w:val="00B0685B"/>
    <w:rsid w:val="00B17BD9"/>
    <w:rsid w:val="00B23030"/>
    <w:rsid w:val="00B237B9"/>
    <w:rsid w:val="00B23CAA"/>
    <w:rsid w:val="00B31564"/>
    <w:rsid w:val="00B410EE"/>
    <w:rsid w:val="00B660B0"/>
    <w:rsid w:val="00B771B1"/>
    <w:rsid w:val="00B8202D"/>
    <w:rsid w:val="00B84EF9"/>
    <w:rsid w:val="00B929FD"/>
    <w:rsid w:val="00B94D34"/>
    <w:rsid w:val="00B95B99"/>
    <w:rsid w:val="00B95F69"/>
    <w:rsid w:val="00BA54F6"/>
    <w:rsid w:val="00BB518C"/>
    <w:rsid w:val="00BC2015"/>
    <w:rsid w:val="00BC5975"/>
    <w:rsid w:val="00BC71B0"/>
    <w:rsid w:val="00BD6B80"/>
    <w:rsid w:val="00BD6CAC"/>
    <w:rsid w:val="00BE46EF"/>
    <w:rsid w:val="00BE6BCD"/>
    <w:rsid w:val="00BF4D90"/>
    <w:rsid w:val="00BF4F01"/>
    <w:rsid w:val="00BF597E"/>
    <w:rsid w:val="00C0184C"/>
    <w:rsid w:val="00C03098"/>
    <w:rsid w:val="00C04EF2"/>
    <w:rsid w:val="00C14685"/>
    <w:rsid w:val="00C17048"/>
    <w:rsid w:val="00C31C73"/>
    <w:rsid w:val="00C3771E"/>
    <w:rsid w:val="00C40DA5"/>
    <w:rsid w:val="00C43C47"/>
    <w:rsid w:val="00C46AF9"/>
    <w:rsid w:val="00C51A36"/>
    <w:rsid w:val="00C52C62"/>
    <w:rsid w:val="00C548BE"/>
    <w:rsid w:val="00C55228"/>
    <w:rsid w:val="00C569F9"/>
    <w:rsid w:val="00C67E19"/>
    <w:rsid w:val="00C67E47"/>
    <w:rsid w:val="00C71E85"/>
    <w:rsid w:val="00C75CF5"/>
    <w:rsid w:val="00C80D44"/>
    <w:rsid w:val="00C86F9B"/>
    <w:rsid w:val="00C87FEE"/>
    <w:rsid w:val="00C920A9"/>
    <w:rsid w:val="00CA6500"/>
    <w:rsid w:val="00CB0B65"/>
    <w:rsid w:val="00CB260B"/>
    <w:rsid w:val="00CB32AC"/>
    <w:rsid w:val="00CC3579"/>
    <w:rsid w:val="00CC43C5"/>
    <w:rsid w:val="00CE2A9E"/>
    <w:rsid w:val="00CE315A"/>
    <w:rsid w:val="00CE7BE1"/>
    <w:rsid w:val="00CF147A"/>
    <w:rsid w:val="00CF1726"/>
    <w:rsid w:val="00CF5BEE"/>
    <w:rsid w:val="00CF615B"/>
    <w:rsid w:val="00CF6C5C"/>
    <w:rsid w:val="00D00082"/>
    <w:rsid w:val="00D04E08"/>
    <w:rsid w:val="00D06F59"/>
    <w:rsid w:val="00D207FD"/>
    <w:rsid w:val="00D31D43"/>
    <w:rsid w:val="00D32C89"/>
    <w:rsid w:val="00D3392D"/>
    <w:rsid w:val="00D429D7"/>
    <w:rsid w:val="00D432BA"/>
    <w:rsid w:val="00D44F57"/>
    <w:rsid w:val="00D46934"/>
    <w:rsid w:val="00D55E69"/>
    <w:rsid w:val="00D562F6"/>
    <w:rsid w:val="00D6092B"/>
    <w:rsid w:val="00D763FC"/>
    <w:rsid w:val="00D8388C"/>
    <w:rsid w:val="00D8465F"/>
    <w:rsid w:val="00D93BCF"/>
    <w:rsid w:val="00D93CE5"/>
    <w:rsid w:val="00D94A94"/>
    <w:rsid w:val="00DA0605"/>
    <w:rsid w:val="00DA0DF0"/>
    <w:rsid w:val="00DA15B3"/>
    <w:rsid w:val="00DB30A0"/>
    <w:rsid w:val="00DB3A7B"/>
    <w:rsid w:val="00DB49C7"/>
    <w:rsid w:val="00DB7048"/>
    <w:rsid w:val="00DC3DCB"/>
    <w:rsid w:val="00DC5D24"/>
    <w:rsid w:val="00DC6922"/>
    <w:rsid w:val="00DD0554"/>
    <w:rsid w:val="00DD3D68"/>
    <w:rsid w:val="00DE053D"/>
    <w:rsid w:val="00DE146D"/>
    <w:rsid w:val="00DE2D80"/>
    <w:rsid w:val="00DE6FCE"/>
    <w:rsid w:val="00DF4E02"/>
    <w:rsid w:val="00DF76DB"/>
    <w:rsid w:val="00E038E4"/>
    <w:rsid w:val="00E10958"/>
    <w:rsid w:val="00E10DB7"/>
    <w:rsid w:val="00E13D9A"/>
    <w:rsid w:val="00E15335"/>
    <w:rsid w:val="00E2412D"/>
    <w:rsid w:val="00E306F3"/>
    <w:rsid w:val="00E32D13"/>
    <w:rsid w:val="00E361FB"/>
    <w:rsid w:val="00E43822"/>
    <w:rsid w:val="00E43B4F"/>
    <w:rsid w:val="00E4616C"/>
    <w:rsid w:val="00E54035"/>
    <w:rsid w:val="00E60BC6"/>
    <w:rsid w:val="00E62996"/>
    <w:rsid w:val="00E63714"/>
    <w:rsid w:val="00E64A51"/>
    <w:rsid w:val="00E64DE9"/>
    <w:rsid w:val="00E761A3"/>
    <w:rsid w:val="00E910C0"/>
    <w:rsid w:val="00E95DCA"/>
    <w:rsid w:val="00E97424"/>
    <w:rsid w:val="00EA105E"/>
    <w:rsid w:val="00EA2B20"/>
    <w:rsid w:val="00EA55F7"/>
    <w:rsid w:val="00EB0164"/>
    <w:rsid w:val="00EB65F7"/>
    <w:rsid w:val="00EC42F5"/>
    <w:rsid w:val="00ED0F62"/>
    <w:rsid w:val="00EE31A4"/>
    <w:rsid w:val="00EE342C"/>
    <w:rsid w:val="00EE4E99"/>
    <w:rsid w:val="00EE5681"/>
    <w:rsid w:val="00EF36E7"/>
    <w:rsid w:val="00F00528"/>
    <w:rsid w:val="00F06D09"/>
    <w:rsid w:val="00F0761A"/>
    <w:rsid w:val="00F11201"/>
    <w:rsid w:val="00F120B5"/>
    <w:rsid w:val="00F120D0"/>
    <w:rsid w:val="00F14D99"/>
    <w:rsid w:val="00F218AE"/>
    <w:rsid w:val="00F2791D"/>
    <w:rsid w:val="00F32CB9"/>
    <w:rsid w:val="00F33729"/>
    <w:rsid w:val="00F35CD7"/>
    <w:rsid w:val="00F4469B"/>
    <w:rsid w:val="00F45330"/>
    <w:rsid w:val="00F47D7D"/>
    <w:rsid w:val="00F57725"/>
    <w:rsid w:val="00F606E1"/>
    <w:rsid w:val="00F614F5"/>
    <w:rsid w:val="00F6176E"/>
    <w:rsid w:val="00F6739D"/>
    <w:rsid w:val="00F83639"/>
    <w:rsid w:val="00F840C3"/>
    <w:rsid w:val="00F856F5"/>
    <w:rsid w:val="00F93F58"/>
    <w:rsid w:val="00F956F5"/>
    <w:rsid w:val="00FA0833"/>
    <w:rsid w:val="00FA2A1D"/>
    <w:rsid w:val="00FA350D"/>
    <w:rsid w:val="00FB03C3"/>
    <w:rsid w:val="00FB136A"/>
    <w:rsid w:val="00FB5A65"/>
    <w:rsid w:val="00FC4C8F"/>
    <w:rsid w:val="00FD2869"/>
    <w:rsid w:val="00FD4D2E"/>
    <w:rsid w:val="00FD56BE"/>
    <w:rsid w:val="00FD5EE5"/>
    <w:rsid w:val="00FD72A6"/>
    <w:rsid w:val="00FE09C9"/>
    <w:rsid w:val="0455542E"/>
    <w:rsid w:val="108219C2"/>
    <w:rsid w:val="1B1418A3"/>
    <w:rsid w:val="2E8D71E1"/>
    <w:rsid w:val="30983942"/>
    <w:rsid w:val="33655F2F"/>
    <w:rsid w:val="425C5FCC"/>
    <w:rsid w:val="51B00550"/>
    <w:rsid w:val="59A63225"/>
    <w:rsid w:val="5EA12B9A"/>
    <w:rsid w:val="69A3524F"/>
    <w:rsid w:val="7BB377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fontstyle01"/>
    <w:basedOn w:val="8"/>
    <w:qFormat/>
    <w:uiPriority w:val="0"/>
    <w:rPr>
      <w:rFonts w:hint="eastAsia" w:ascii="宋体" w:hAnsi="宋体" w:eastAsia="宋体"/>
      <w:color w:val="000000"/>
      <w:sz w:val="24"/>
      <w:szCs w:val="24"/>
    </w:rPr>
  </w:style>
  <w:style w:type="character" w:customStyle="1" w:styleId="14">
    <w:name w:val="fontstyle21"/>
    <w:basedOn w:val="8"/>
    <w:qFormat/>
    <w:uiPriority w:val="0"/>
    <w:rPr>
      <w:rFonts w:hint="default"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887</Words>
  <Characters>5060</Characters>
  <Lines>42</Lines>
  <Paragraphs>11</Paragraphs>
  <TotalTime>6</TotalTime>
  <ScaleCrop>false</ScaleCrop>
  <LinksUpToDate>false</LinksUpToDate>
  <CharactersWithSpaces>5936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2020-09-24T07:11:42Z</dcterms:modified>
  <cp:revision>712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