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rPr>
          <w:b/>
        </w:rPr>
      </w:pPr>
    </w:p>
    <w:p>
      <w:pPr>
        <w:snapToGrid w:val="0"/>
        <w:spacing w:line="480" w:lineRule="auto"/>
        <w:jc w:val="center"/>
        <w:rPr>
          <w:rFonts w:eastAsia="隶书"/>
          <w:sz w:val="52"/>
        </w:rPr>
      </w:pP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1025" o:spt="75" type="#_x0000_t75" style="position:absolute;left:0pt;margin-left:169.75pt;margin-top:-36.8pt;height:117.35pt;width:135.75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after="98" w:afterLines="30"/>
        <w:ind w:firstLine="321" w:firstLineChars="1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0" w:name="组织名称"/>
      <w:r>
        <w:rPr>
          <w:rFonts w:hint="eastAsia" w:ascii="楷体" w:hAnsi="楷体" w:eastAsia="楷体"/>
          <w:b/>
          <w:color w:val="000000"/>
          <w:sz w:val="32"/>
          <w:szCs w:val="32"/>
        </w:rPr>
        <w:t>成都黄氏漆业有限公司</w:t>
      </w:r>
      <w:bookmarkEnd w:id="0"/>
    </w:p>
    <w:p>
      <w:pPr>
        <w:snapToGrid w:val="0"/>
        <w:spacing w:after="98" w:afterLines="30"/>
        <w:rPr>
          <w:rFonts w:ascii="楷体" w:hAnsi="楷体" w:eastAsia="楷体"/>
          <w:b/>
          <w:color w:val="000000"/>
          <w:sz w:val="32"/>
          <w:szCs w:val="32"/>
        </w:rPr>
      </w:pPr>
    </w:p>
    <w:p>
      <w:pPr>
        <w:snapToGrid w:val="0"/>
        <w:spacing w:after="98" w:afterLines="30"/>
        <w:ind w:firstLine="321" w:firstLineChars="1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8" w:afterLines="30"/>
        <w:ind w:firstLine="957" w:firstLineChars="298"/>
        <w:rPr>
          <w:rFonts w:ascii="楷体" w:hAnsi="楷体" w:eastAsia="楷体"/>
          <w:b/>
          <w:color w:val="000000"/>
          <w:sz w:val="32"/>
          <w:szCs w:val="32"/>
        </w:rPr>
      </w:pPr>
      <w:bookmarkStart w:id="1" w:name="Q勾选15"/>
      <w:r>
        <w:rPr>
          <w:rFonts w:hint="eastAsia" w:ascii="楷体" w:hAnsi="楷体" w:eastAsia="楷体"/>
          <w:b/>
          <w:color w:val="000000"/>
          <w:sz w:val="32"/>
          <w:szCs w:val="32"/>
        </w:rPr>
        <w:t>■</w:t>
      </w:r>
      <w:bookmarkEnd w:id="1"/>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bookmarkStart w:id="2" w:name="QJ勾选"/>
      <w:r>
        <w:rPr>
          <w:rFonts w:hint="eastAsia" w:ascii="楷体" w:hAnsi="楷体" w:eastAsia="楷体"/>
          <w:b/>
          <w:color w:val="000000"/>
          <w:sz w:val="32"/>
          <w:szCs w:val="32"/>
        </w:rPr>
        <w:t>□</w:t>
      </w:r>
      <w:bookmarkEnd w:id="2"/>
      <w:r>
        <w:rPr>
          <w:rFonts w:hint="eastAsia" w:ascii="楷体" w:hAnsi="楷体" w:eastAsia="楷体"/>
          <w:b/>
          <w:color w:val="000000"/>
          <w:sz w:val="32"/>
          <w:szCs w:val="32"/>
        </w:rPr>
        <w:t>5</w:t>
      </w:r>
      <w:r>
        <w:rPr>
          <w:rFonts w:ascii="楷体" w:hAnsi="楷体" w:eastAsia="楷体"/>
          <w:b/>
          <w:color w:val="000000"/>
          <w:sz w:val="32"/>
          <w:szCs w:val="32"/>
        </w:rPr>
        <w:t>0430</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 xml:space="preserve"> 1 </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eastAsia="楷体_GB2312"/>
          <w:sz w:val="32"/>
        </w:rPr>
      </w:pPr>
    </w:p>
    <w:p>
      <w:pPr>
        <w:snapToGrid w:val="0"/>
        <w:spacing w:after="98"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hint="eastAsia" w:ascii="楷体" w:hAnsi="楷体" w:eastAsia="楷体"/>
          <w:b/>
          <w:color w:val="000000"/>
          <w:sz w:val="36"/>
          <w:szCs w:val="36"/>
        </w:rPr>
      </w:pPr>
      <w:r>
        <w:rPr>
          <w:rFonts w:hint="eastAsia" w:ascii="楷体" w:hAnsi="楷体" w:eastAsia="楷体"/>
          <w:b/>
          <w:color w:val="000000"/>
          <w:sz w:val="36"/>
          <w:szCs w:val="36"/>
        </w:rPr>
        <w:t>网址：</w:t>
      </w:r>
      <w:r>
        <w:rPr>
          <w:rFonts w:ascii="楷体" w:hAnsi="楷体" w:eastAsia="楷体"/>
          <w:b/>
          <w:color w:val="000000"/>
          <w:sz w:val="36"/>
          <w:szCs w:val="36"/>
        </w:rPr>
        <w:fldChar w:fldCharType="begin"/>
      </w:r>
      <w:r>
        <w:rPr>
          <w:rFonts w:ascii="楷体" w:hAnsi="楷体" w:eastAsia="楷体"/>
          <w:b/>
          <w:color w:val="000000"/>
          <w:sz w:val="36"/>
          <w:szCs w:val="36"/>
        </w:rPr>
        <w:instrText xml:space="preserve"> HYPERLINK "http://www.china-isc.org.cn" </w:instrText>
      </w:r>
      <w:r>
        <w:rPr>
          <w:rFonts w:ascii="楷体" w:hAnsi="楷体" w:eastAsia="楷体"/>
          <w:b/>
          <w:color w:val="000000"/>
          <w:sz w:val="36"/>
          <w:szCs w:val="36"/>
        </w:rPr>
        <w:fldChar w:fldCharType="separate"/>
      </w:r>
      <w:r>
        <w:rPr>
          <w:rStyle w:val="8"/>
          <w:rFonts w:ascii="楷体" w:hAnsi="楷体" w:eastAsia="楷体"/>
          <w:b/>
          <w:sz w:val="36"/>
          <w:szCs w:val="36"/>
        </w:rPr>
        <w:t>www.</w:t>
      </w:r>
      <w:r>
        <w:rPr>
          <w:rStyle w:val="8"/>
          <w:rFonts w:hint="eastAsia" w:ascii="楷体" w:hAnsi="楷体" w:eastAsia="楷体"/>
          <w:b/>
          <w:sz w:val="36"/>
          <w:szCs w:val="36"/>
        </w:rPr>
        <w:t>china-isc.org.cn</w:t>
      </w:r>
      <w:r>
        <w:rPr>
          <w:rFonts w:ascii="楷体" w:hAnsi="楷体" w:eastAsia="楷体"/>
          <w:b/>
          <w:color w:val="000000"/>
          <w:sz w:val="36"/>
          <w:szCs w:val="36"/>
        </w:rPr>
        <w:fldChar w:fldCharType="end"/>
      </w:r>
    </w:p>
    <w:p>
      <w:pPr>
        <w:widowControl/>
        <w:ind w:firstLine="2512" w:firstLineChars="695"/>
        <w:jc w:val="left"/>
        <w:rPr>
          <w:rFonts w:hint="eastAsia" w:ascii="楷体" w:hAnsi="楷体" w:eastAsia="楷体"/>
          <w:b/>
          <w:color w:val="000000"/>
          <w:sz w:val="36"/>
          <w:szCs w:val="36"/>
        </w:rPr>
      </w:pPr>
    </w:p>
    <w:p>
      <w:pPr>
        <w:widowControl/>
        <w:ind w:firstLine="2512" w:firstLineChars="695"/>
        <w:jc w:val="left"/>
        <w:rPr>
          <w:rFonts w:hint="eastAsia" w:ascii="楷体" w:hAnsi="楷体" w:eastAsia="楷体"/>
          <w:b/>
          <w:color w:val="000000"/>
          <w:sz w:val="36"/>
          <w:szCs w:val="36"/>
        </w:rPr>
      </w:pPr>
    </w:p>
    <w:p>
      <w:pPr>
        <w:ind w:firstLine="522" w:firstLineChars="200"/>
        <w:rPr>
          <w:rFonts w:ascii="宋体"/>
          <w:b/>
          <w:color w:val="000000"/>
          <w:sz w:val="26"/>
          <w:szCs w:val="26"/>
        </w:rPr>
      </w:pPr>
      <w:r>
        <w:rPr>
          <w:rFonts w:hint="eastAsia" w:ascii="宋体" w:hAnsi="宋体"/>
          <w:b/>
          <w:color w:val="000000"/>
          <w:sz w:val="26"/>
          <w:szCs w:val="26"/>
        </w:rPr>
        <w:t>一、审核方基本信息</w:t>
      </w:r>
    </w:p>
    <w:tbl>
      <w:tblPr>
        <w:tblStyle w:val="5"/>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283"/>
        <w:gridCol w:w="1559"/>
        <w:gridCol w:w="1277"/>
        <w:gridCol w:w="1699"/>
        <w:gridCol w:w="993"/>
        <w:gridCol w:w="735"/>
        <w:gridCol w:w="115"/>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8"/>
          </w:tcPr>
          <w:p>
            <w:pPr>
              <w:rPr>
                <w:b/>
                <w:sz w:val="21"/>
                <w:szCs w:val="21"/>
              </w:rPr>
            </w:pPr>
            <w:r>
              <w:rPr>
                <w:rFonts w:hint="eastAsia"/>
                <w:b/>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5"/>
          </w:tcPr>
          <w:p>
            <w:pPr>
              <w:rPr>
                <w:b/>
                <w:sz w:val="21"/>
                <w:szCs w:val="21"/>
              </w:rPr>
            </w:pPr>
            <w:r>
              <w:rPr>
                <w:rFonts w:hint="eastAsia"/>
                <w:b/>
                <w:sz w:val="21"/>
                <w:szCs w:val="21"/>
              </w:rPr>
              <w:t>北京市朝阳区北苑路168号1号楼16层1603</w:t>
            </w:r>
          </w:p>
        </w:tc>
        <w:tc>
          <w:tcPr>
            <w:tcW w:w="850" w:type="dxa"/>
            <w:gridSpan w:val="2"/>
          </w:tcPr>
          <w:p>
            <w:pPr>
              <w:rPr>
                <w:b/>
                <w:sz w:val="21"/>
                <w:szCs w:val="21"/>
              </w:rPr>
            </w:pPr>
            <w:r>
              <w:rPr>
                <w:rFonts w:hint="eastAsia"/>
                <w:b/>
                <w:sz w:val="21"/>
                <w:szCs w:val="21"/>
              </w:rPr>
              <w:t>邮编</w:t>
            </w:r>
          </w:p>
        </w:tc>
        <w:tc>
          <w:tcPr>
            <w:tcW w:w="1614" w:type="dxa"/>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8"/>
          </w:tcPr>
          <w:p>
            <w:pPr>
              <w:rPr>
                <w:b/>
                <w:sz w:val="21"/>
                <w:szCs w:val="21"/>
              </w:rPr>
            </w:pPr>
            <w:r>
              <w:rPr>
                <w:b/>
                <w:sz w:val="21"/>
                <w:szCs w:val="21"/>
              </w:rPr>
              <w:t>010</w:t>
            </w:r>
            <w:r>
              <w:rPr>
                <w:rFonts w:hint="eastAsia"/>
                <w:b/>
                <w:sz w:val="21"/>
                <w:szCs w:val="21"/>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10"/>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职务</w:t>
            </w:r>
          </w:p>
        </w:tc>
        <w:tc>
          <w:tcPr>
            <w:tcW w:w="1277" w:type="dxa"/>
            <w:vAlign w:val="center"/>
          </w:tcPr>
          <w:p>
            <w:pPr>
              <w:jc w:val="center"/>
              <w:rPr>
                <w:b/>
                <w:sz w:val="21"/>
                <w:szCs w:val="21"/>
              </w:rPr>
            </w:pPr>
            <w:r>
              <w:rPr>
                <w:rFonts w:hint="eastAsia"/>
                <w:b/>
                <w:sz w:val="21"/>
                <w:szCs w:val="21"/>
              </w:rPr>
              <w:t>注册级别</w:t>
            </w:r>
          </w:p>
        </w:tc>
        <w:tc>
          <w:tcPr>
            <w:tcW w:w="1699" w:type="dxa"/>
            <w:vAlign w:val="center"/>
          </w:tcPr>
          <w:p>
            <w:pPr>
              <w:jc w:val="center"/>
              <w:rPr>
                <w:b/>
                <w:sz w:val="21"/>
                <w:szCs w:val="21"/>
              </w:rPr>
            </w:pPr>
            <w:r>
              <w:rPr>
                <w:rFonts w:hint="eastAsia"/>
                <w:b/>
                <w:sz w:val="21"/>
                <w:szCs w:val="21"/>
              </w:rPr>
              <w:t>审核员注册号</w:t>
            </w:r>
          </w:p>
        </w:tc>
        <w:tc>
          <w:tcPr>
            <w:tcW w:w="1728" w:type="dxa"/>
            <w:gridSpan w:val="2"/>
            <w:vAlign w:val="center"/>
          </w:tcPr>
          <w:p>
            <w:pPr>
              <w:jc w:val="center"/>
              <w:rPr>
                <w:b/>
                <w:sz w:val="21"/>
                <w:szCs w:val="21"/>
              </w:rPr>
            </w:pPr>
            <w:r>
              <w:rPr>
                <w:rFonts w:hint="eastAsia"/>
                <w:b/>
                <w:sz w:val="21"/>
                <w:szCs w:val="21"/>
              </w:rPr>
              <w:t>专业代码</w:t>
            </w:r>
          </w:p>
        </w:tc>
        <w:tc>
          <w:tcPr>
            <w:tcW w:w="1729" w:type="dxa"/>
            <w:gridSpan w:val="2"/>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李林</w:t>
            </w:r>
          </w:p>
        </w:tc>
        <w:tc>
          <w:tcPr>
            <w:tcW w:w="824" w:type="dxa"/>
            <w:gridSpan w:val="2"/>
            <w:vAlign w:val="center"/>
          </w:tcPr>
          <w:p>
            <w:pPr>
              <w:jc w:val="center"/>
              <w:rPr>
                <w:b/>
                <w:sz w:val="21"/>
                <w:szCs w:val="21"/>
              </w:rPr>
            </w:pPr>
            <w:r>
              <w:rPr>
                <w:b/>
                <w:sz w:val="21"/>
                <w:szCs w:val="21"/>
              </w:rPr>
              <w:t>男</w:t>
            </w:r>
          </w:p>
        </w:tc>
        <w:tc>
          <w:tcPr>
            <w:tcW w:w="1559" w:type="dxa"/>
            <w:vAlign w:val="center"/>
          </w:tcPr>
          <w:p>
            <w:pPr>
              <w:jc w:val="center"/>
              <w:rPr>
                <w:b/>
                <w:sz w:val="21"/>
                <w:szCs w:val="21"/>
              </w:rPr>
            </w:pPr>
            <w:r>
              <w:rPr>
                <w:b/>
                <w:sz w:val="21"/>
                <w:szCs w:val="21"/>
              </w:rPr>
              <w:t>组长</w:t>
            </w:r>
          </w:p>
        </w:tc>
        <w:tc>
          <w:tcPr>
            <w:tcW w:w="1277" w:type="dxa"/>
            <w:vAlign w:val="center"/>
          </w:tcPr>
          <w:p>
            <w:pPr>
              <w:jc w:val="center"/>
              <w:rPr>
                <w:b/>
                <w:sz w:val="21"/>
                <w:szCs w:val="21"/>
              </w:rPr>
            </w:pPr>
            <w:r>
              <w:rPr>
                <w:b/>
                <w:sz w:val="21"/>
                <w:szCs w:val="21"/>
              </w:rPr>
              <w:t>Q:审核员</w:t>
            </w:r>
          </w:p>
          <w:p>
            <w:pPr>
              <w:jc w:val="center"/>
              <w:rPr>
                <w:b/>
                <w:sz w:val="21"/>
                <w:szCs w:val="21"/>
              </w:rPr>
            </w:pPr>
            <w:r>
              <w:rPr>
                <w:b/>
                <w:sz w:val="21"/>
                <w:szCs w:val="21"/>
              </w:rPr>
              <w:t>E:审核员</w:t>
            </w:r>
          </w:p>
        </w:tc>
        <w:tc>
          <w:tcPr>
            <w:tcW w:w="1699" w:type="dxa"/>
            <w:vAlign w:val="center"/>
          </w:tcPr>
          <w:p>
            <w:pPr>
              <w:jc w:val="center"/>
              <w:rPr>
                <w:b/>
                <w:sz w:val="21"/>
                <w:szCs w:val="21"/>
              </w:rPr>
            </w:pPr>
            <w:r>
              <w:rPr>
                <w:b/>
                <w:sz w:val="21"/>
                <w:szCs w:val="21"/>
              </w:rPr>
              <w:t>2019-N1QMS-1242345</w:t>
            </w:r>
          </w:p>
          <w:p>
            <w:pPr>
              <w:jc w:val="center"/>
              <w:rPr>
                <w:b/>
                <w:sz w:val="21"/>
                <w:szCs w:val="21"/>
              </w:rPr>
            </w:pPr>
            <w:r>
              <w:rPr>
                <w:b/>
                <w:sz w:val="21"/>
                <w:szCs w:val="21"/>
              </w:rPr>
              <w:t>2019-N1EMS-1242345</w:t>
            </w:r>
          </w:p>
        </w:tc>
        <w:tc>
          <w:tcPr>
            <w:tcW w:w="1728" w:type="dxa"/>
            <w:gridSpan w:val="2"/>
            <w:vAlign w:val="center"/>
          </w:tcPr>
          <w:p>
            <w:pPr>
              <w:jc w:val="center"/>
              <w:rPr>
                <w:b/>
                <w:sz w:val="21"/>
                <w:szCs w:val="21"/>
              </w:rPr>
            </w:pPr>
          </w:p>
        </w:tc>
        <w:tc>
          <w:tcPr>
            <w:tcW w:w="1729" w:type="dxa"/>
            <w:gridSpan w:val="2"/>
            <w:vAlign w:val="center"/>
          </w:tcPr>
          <w:p>
            <w:pPr>
              <w:jc w:val="center"/>
              <w:rPr>
                <w:b/>
                <w:sz w:val="21"/>
                <w:szCs w:val="21"/>
              </w:rPr>
            </w:pPr>
            <w:r>
              <w:rPr>
                <w:b/>
                <w:sz w:val="21"/>
                <w:szCs w:val="21"/>
              </w:rPr>
              <w:t>ISC-242345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李金一</w:t>
            </w:r>
          </w:p>
        </w:tc>
        <w:tc>
          <w:tcPr>
            <w:tcW w:w="824" w:type="dxa"/>
            <w:gridSpan w:val="2"/>
            <w:vAlign w:val="center"/>
          </w:tcPr>
          <w:p>
            <w:pPr>
              <w:jc w:val="center"/>
              <w:rPr>
                <w:b/>
                <w:sz w:val="21"/>
                <w:szCs w:val="21"/>
              </w:rPr>
            </w:pPr>
            <w:r>
              <w:rPr>
                <w:b/>
                <w:sz w:val="21"/>
                <w:szCs w:val="21"/>
              </w:rPr>
              <w:t>男</w:t>
            </w:r>
          </w:p>
        </w:tc>
        <w:tc>
          <w:tcPr>
            <w:tcW w:w="1559" w:type="dxa"/>
            <w:vAlign w:val="center"/>
          </w:tcPr>
          <w:p>
            <w:pPr>
              <w:jc w:val="center"/>
              <w:rPr>
                <w:b/>
                <w:sz w:val="21"/>
                <w:szCs w:val="21"/>
              </w:rPr>
            </w:pPr>
            <w:r>
              <w:rPr>
                <w:b/>
                <w:sz w:val="21"/>
                <w:szCs w:val="21"/>
              </w:rPr>
              <w:t>组员</w:t>
            </w:r>
          </w:p>
        </w:tc>
        <w:tc>
          <w:tcPr>
            <w:tcW w:w="1277" w:type="dxa"/>
            <w:vAlign w:val="center"/>
          </w:tcPr>
          <w:p>
            <w:pPr>
              <w:jc w:val="center"/>
              <w:rPr>
                <w:b/>
                <w:sz w:val="21"/>
                <w:szCs w:val="21"/>
              </w:rPr>
            </w:pPr>
            <w:r>
              <w:rPr>
                <w:b/>
                <w:sz w:val="21"/>
                <w:szCs w:val="21"/>
              </w:rPr>
              <w:t>Q:专家</w:t>
            </w:r>
          </w:p>
          <w:p>
            <w:pPr>
              <w:jc w:val="center"/>
              <w:rPr>
                <w:b/>
                <w:sz w:val="21"/>
                <w:szCs w:val="21"/>
              </w:rPr>
            </w:pPr>
            <w:r>
              <w:rPr>
                <w:b/>
                <w:sz w:val="21"/>
                <w:szCs w:val="21"/>
              </w:rPr>
              <w:t>E:专家</w:t>
            </w:r>
          </w:p>
          <w:p>
            <w:pPr>
              <w:jc w:val="center"/>
              <w:rPr>
                <w:b/>
                <w:sz w:val="21"/>
                <w:szCs w:val="21"/>
              </w:rPr>
            </w:pPr>
          </w:p>
        </w:tc>
        <w:tc>
          <w:tcPr>
            <w:tcW w:w="1699" w:type="dxa"/>
            <w:vAlign w:val="center"/>
          </w:tcPr>
          <w:p>
            <w:pPr>
              <w:jc w:val="center"/>
              <w:rPr>
                <w:b/>
                <w:sz w:val="21"/>
                <w:szCs w:val="21"/>
              </w:rPr>
            </w:pPr>
            <w:r>
              <w:rPr>
                <w:b/>
                <w:sz w:val="21"/>
                <w:szCs w:val="21"/>
              </w:rPr>
              <w:t>ISC-JSZJ-166</w:t>
            </w:r>
          </w:p>
          <w:p>
            <w:pPr>
              <w:jc w:val="center"/>
              <w:rPr>
                <w:b/>
                <w:sz w:val="21"/>
                <w:szCs w:val="21"/>
              </w:rPr>
            </w:pPr>
            <w:r>
              <w:rPr>
                <w:b/>
                <w:sz w:val="21"/>
                <w:szCs w:val="21"/>
              </w:rPr>
              <w:t>ISC-JSZJ-166</w:t>
            </w:r>
          </w:p>
          <w:p>
            <w:pPr>
              <w:jc w:val="center"/>
              <w:rPr>
                <w:b/>
                <w:sz w:val="21"/>
                <w:szCs w:val="21"/>
              </w:rPr>
            </w:pPr>
            <w:r>
              <w:rPr>
                <w:b/>
                <w:sz w:val="21"/>
                <w:szCs w:val="21"/>
              </w:rPr>
              <w:t>中核三鑫建筑工程有限公司</w:t>
            </w:r>
          </w:p>
        </w:tc>
        <w:tc>
          <w:tcPr>
            <w:tcW w:w="1728" w:type="dxa"/>
            <w:gridSpan w:val="2"/>
            <w:vAlign w:val="center"/>
          </w:tcPr>
          <w:p>
            <w:pPr>
              <w:jc w:val="center"/>
              <w:rPr>
                <w:b/>
                <w:sz w:val="21"/>
                <w:szCs w:val="21"/>
              </w:rPr>
            </w:pPr>
            <w:r>
              <w:rPr>
                <w:b/>
                <w:sz w:val="21"/>
                <w:szCs w:val="21"/>
              </w:rPr>
              <w:t>Q:12.03.00,12.05.02,14.02.01,16.02.05</w:t>
            </w:r>
          </w:p>
          <w:p>
            <w:pPr>
              <w:jc w:val="center"/>
              <w:rPr>
                <w:b/>
                <w:sz w:val="21"/>
                <w:szCs w:val="21"/>
              </w:rPr>
            </w:pPr>
            <w:r>
              <w:rPr>
                <w:b/>
                <w:sz w:val="21"/>
                <w:szCs w:val="21"/>
              </w:rPr>
              <w:t>E:12.03.00,12.05.02,14.02.01,16.02.05</w:t>
            </w:r>
          </w:p>
        </w:tc>
        <w:tc>
          <w:tcPr>
            <w:tcW w:w="1729" w:type="dxa"/>
            <w:gridSpan w:val="2"/>
            <w:vAlign w:val="center"/>
          </w:tcPr>
          <w:p>
            <w:pPr>
              <w:jc w:val="center"/>
              <w:rPr>
                <w:b/>
                <w:sz w:val="21"/>
                <w:szCs w:val="21"/>
              </w:rPr>
            </w:pPr>
            <w:r>
              <w:rPr>
                <w:b/>
                <w:sz w:val="21"/>
                <w:szCs w:val="21"/>
              </w:rPr>
              <w:t>ISC-JSZJ-166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34" w:type="dxa"/>
            <w:gridSpan w:val="10"/>
          </w:tcPr>
          <w:p>
            <w:pP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角色</w:t>
            </w:r>
          </w:p>
        </w:tc>
        <w:tc>
          <w:tcPr>
            <w:tcW w:w="6433" w:type="dxa"/>
            <w:gridSpan w:val="6"/>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p>
        </w:tc>
        <w:tc>
          <w:tcPr>
            <w:tcW w:w="824" w:type="dxa"/>
            <w:gridSpan w:val="2"/>
            <w:vAlign w:val="center"/>
          </w:tcPr>
          <w:p>
            <w:pPr>
              <w:jc w:val="center"/>
              <w:rPr>
                <w:b/>
                <w:sz w:val="21"/>
                <w:szCs w:val="21"/>
              </w:rPr>
            </w:pPr>
          </w:p>
        </w:tc>
        <w:tc>
          <w:tcPr>
            <w:tcW w:w="1559" w:type="dxa"/>
            <w:vAlign w:val="center"/>
          </w:tcPr>
          <w:p>
            <w:pPr>
              <w:jc w:val="center"/>
              <w:rPr>
                <w:b/>
                <w:sz w:val="21"/>
                <w:szCs w:val="21"/>
              </w:rPr>
            </w:pPr>
          </w:p>
        </w:tc>
        <w:tc>
          <w:tcPr>
            <w:tcW w:w="6433" w:type="dxa"/>
            <w:gridSpan w:val="6"/>
            <w:vAlign w:val="center"/>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bl>
    <w:p>
      <w:pPr>
        <w:tabs>
          <w:tab w:val="left" w:pos="645"/>
        </w:tabs>
        <w:rPr>
          <w:b/>
          <w:sz w:val="26"/>
          <w:szCs w:val="26"/>
        </w:rPr>
      </w:pPr>
      <w:r>
        <w:rPr>
          <w:rFonts w:hint="eastAsia"/>
          <w:b/>
          <w:sz w:val="26"/>
          <w:szCs w:val="26"/>
        </w:rPr>
        <w:t>二、审核目的</w:t>
      </w:r>
    </w:p>
    <w:p>
      <w:pPr>
        <w:tabs>
          <w:tab w:val="left" w:pos="645"/>
        </w:tabs>
        <w:rPr>
          <w:b/>
          <w:sz w:val="21"/>
          <w:szCs w:val="21"/>
        </w:rPr>
      </w:pPr>
      <w:bookmarkStart w:id="5" w:name="审核目的"/>
      <w:r>
        <w:rPr>
          <w:rFonts w:hint="eastAsia"/>
          <w:b/>
          <w:sz w:val="21"/>
          <w:szCs w:val="21"/>
        </w:rPr>
        <w:t>□认证注册：__________</w:t>
      </w:r>
    </w:p>
    <w:p>
      <w:pPr>
        <w:tabs>
          <w:tab w:val="left" w:pos="645"/>
        </w:tabs>
        <w:rPr>
          <w:rFonts w:hint="eastAsia"/>
          <w:b/>
          <w:sz w:val="21"/>
          <w:szCs w:val="21"/>
        </w:rPr>
      </w:pPr>
      <w:r>
        <w:rPr>
          <w:rFonts w:hint="eastAsia"/>
          <w:b/>
          <w:sz w:val="21"/>
          <w:szCs w:val="21"/>
        </w:rPr>
        <w:sym w:font="Wingdings 2" w:char="0052"/>
      </w:r>
      <w:r>
        <w:rPr>
          <w:rFonts w:hint="eastAsia"/>
          <w:b/>
          <w:sz w:val="21"/>
          <w:szCs w:val="21"/>
        </w:rPr>
        <w:t>保持认证注册资格：__________</w:t>
      </w:r>
    </w:p>
    <w:p>
      <w:pPr>
        <w:tabs>
          <w:tab w:val="left" w:pos="645"/>
        </w:tabs>
        <w:rPr>
          <w:rFonts w:hint="eastAsia"/>
          <w:b/>
          <w:sz w:val="21"/>
          <w:szCs w:val="21"/>
        </w:rPr>
      </w:pPr>
      <w:r>
        <w:rPr>
          <w:rFonts w:hint="eastAsia"/>
          <w:b/>
          <w:sz w:val="21"/>
          <w:szCs w:val="21"/>
        </w:rPr>
        <w:t>□恢复认证注册资格：__________</w:t>
      </w:r>
    </w:p>
    <w:p>
      <w:pPr>
        <w:tabs>
          <w:tab w:val="left" w:pos="645"/>
        </w:tabs>
        <w:rPr>
          <w:rFonts w:hint="eastAsia"/>
          <w:b/>
          <w:sz w:val="21"/>
          <w:szCs w:val="21"/>
        </w:rPr>
      </w:pPr>
      <w:r>
        <w:rPr>
          <w:rFonts w:hint="eastAsia"/>
          <w:b/>
          <w:sz w:val="21"/>
          <w:szCs w:val="21"/>
        </w:rPr>
        <w:t>□扩大认证范围 ：</w:t>
      </w:r>
    </w:p>
    <w:p>
      <w:pPr>
        <w:tabs>
          <w:tab w:val="left" w:pos="645"/>
        </w:tabs>
        <w:rPr>
          <w:rFonts w:hint="eastAsia"/>
          <w:b/>
          <w:sz w:val="21"/>
          <w:szCs w:val="21"/>
        </w:rPr>
      </w:pPr>
      <w:r>
        <w:rPr>
          <w:rFonts w:hint="eastAsia"/>
          <w:b/>
          <w:sz w:val="21"/>
          <w:szCs w:val="21"/>
        </w:rPr>
        <w:t>□其它：__________</w:t>
      </w:r>
      <w:bookmarkEnd w:id="5"/>
    </w:p>
    <w:p>
      <w:pPr>
        <w:tabs>
          <w:tab w:val="left" w:pos="645"/>
        </w:tabs>
        <w:rPr>
          <w:b/>
          <w:sz w:val="16"/>
          <w:szCs w:val="16"/>
        </w:rPr>
      </w:pPr>
      <w:r>
        <w:rPr>
          <w:rFonts w:hint="eastAsia"/>
          <w:b/>
          <w:sz w:val="26"/>
          <w:szCs w:val="26"/>
        </w:rPr>
        <w:t>三、审核准则</w:t>
      </w:r>
    </w:p>
    <w:p>
      <w:pPr>
        <w:tabs>
          <w:tab w:val="left" w:pos="645"/>
        </w:tabs>
        <w:rPr>
          <w:rFonts w:hint="default" w:eastAsia="宋体"/>
          <w:b/>
          <w:sz w:val="21"/>
          <w:szCs w:val="21"/>
          <w:lang w:val="en-US" w:eastAsia="zh-CN"/>
        </w:rPr>
      </w:pPr>
      <w:bookmarkStart w:id="6" w:name="Q勾选15Add"/>
      <w:r>
        <w:rPr>
          <w:rFonts w:hint="eastAsia"/>
          <w:b/>
          <w:sz w:val="21"/>
          <w:szCs w:val="21"/>
        </w:rPr>
        <w:t>■</w:t>
      </w:r>
      <w:bookmarkEnd w:id="6"/>
      <w:r>
        <w:rPr>
          <w:rFonts w:hint="eastAsia"/>
          <w:b/>
          <w:sz w:val="21"/>
          <w:szCs w:val="21"/>
        </w:rPr>
        <w:t xml:space="preserve"> GB/T 19001:2016 idt ISO 9001:2015标准不适用条款: </w:t>
      </w:r>
      <w:r>
        <w:rPr>
          <w:rFonts w:hint="eastAsia"/>
          <w:b/>
          <w:sz w:val="21"/>
          <w:szCs w:val="21"/>
          <w:lang w:val="en-US" w:eastAsia="zh-CN"/>
        </w:rPr>
        <w:t>8.3条款</w:t>
      </w:r>
    </w:p>
    <w:p>
      <w:pPr>
        <w:tabs>
          <w:tab w:val="left" w:pos="645"/>
        </w:tabs>
        <w:rPr>
          <w:b/>
          <w:sz w:val="21"/>
          <w:szCs w:val="21"/>
        </w:rPr>
      </w:pPr>
      <w:bookmarkStart w:id="7" w:name="QJ勾选Add"/>
      <w:r>
        <w:rPr>
          <w:rFonts w:hint="eastAsia"/>
          <w:b/>
          <w:sz w:val="21"/>
          <w:szCs w:val="21"/>
        </w:rPr>
        <w:t>□</w:t>
      </w:r>
      <w:bookmarkEnd w:id="7"/>
      <w:r>
        <w:rPr>
          <w:rFonts w:hint="eastAsia"/>
          <w:b/>
          <w:sz w:val="21"/>
          <w:szCs w:val="21"/>
        </w:rPr>
        <w:t xml:space="preserve"> GB/T 50430-2017标准不适用条款: </w:t>
      </w:r>
    </w:p>
    <w:p>
      <w:pPr>
        <w:tabs>
          <w:tab w:val="left" w:pos="645"/>
        </w:tabs>
        <w:rPr>
          <w:b/>
          <w:sz w:val="21"/>
          <w:szCs w:val="21"/>
        </w:rPr>
      </w:pPr>
      <w:bookmarkStart w:id="8" w:name="E勾选Add"/>
      <w:r>
        <w:rPr>
          <w:rFonts w:hint="eastAsia"/>
          <w:b/>
          <w:sz w:val="21"/>
          <w:szCs w:val="21"/>
        </w:rPr>
        <w:t>■</w:t>
      </w:r>
      <w:bookmarkEnd w:id="8"/>
      <w:r>
        <w:rPr>
          <w:rFonts w:hint="eastAsia"/>
          <w:b/>
          <w:sz w:val="21"/>
          <w:szCs w:val="21"/>
        </w:rPr>
        <w:t xml:space="preserve"> GB/T 24001-2016 idt ISO 14001:2015标准</w:t>
      </w:r>
    </w:p>
    <w:p>
      <w:pPr>
        <w:tabs>
          <w:tab w:val="left" w:pos="645"/>
        </w:tabs>
        <w:rPr>
          <w:b/>
          <w:sz w:val="21"/>
          <w:szCs w:val="21"/>
        </w:rPr>
      </w:pPr>
      <w:bookmarkStart w:id="9" w:name="S勾选Add"/>
      <w:r>
        <w:rPr>
          <w:rFonts w:hint="eastAsia"/>
          <w:b/>
          <w:sz w:val="21"/>
          <w:szCs w:val="21"/>
        </w:rPr>
        <w:t>□</w:t>
      </w:r>
      <w:bookmarkEnd w:id="9"/>
      <w:r>
        <w:rPr>
          <w:rFonts w:hint="eastAsia"/>
          <w:b/>
          <w:sz w:val="21"/>
          <w:szCs w:val="21"/>
        </w:rPr>
        <w:t xml:space="preserve"> GB/T 28001-2011 idt OHSMS 18001:2007标准</w:t>
      </w:r>
    </w:p>
    <w:p>
      <w:pPr>
        <w:tabs>
          <w:tab w:val="left" w:pos="645"/>
        </w:tabs>
        <w:rPr>
          <w:b/>
          <w:sz w:val="21"/>
          <w:szCs w:val="21"/>
        </w:rPr>
      </w:pPr>
      <w:bookmarkStart w:id="10" w:name="S勾选Add1"/>
      <w:r>
        <w:rPr>
          <w:rFonts w:hint="eastAsia"/>
          <w:b/>
          <w:sz w:val="21"/>
          <w:szCs w:val="21"/>
        </w:rPr>
        <w:t>□</w:t>
      </w:r>
      <w:bookmarkEnd w:id="10"/>
      <w:r>
        <w:rPr>
          <w:rFonts w:hint="eastAsia"/>
          <w:b/>
          <w:sz w:val="21"/>
          <w:szCs w:val="21"/>
        </w:rPr>
        <w:t xml:space="preserve"> ISO45001：2018标准</w:t>
      </w:r>
    </w:p>
    <w:p>
      <w:pPr>
        <w:tabs>
          <w:tab w:val="left" w:pos="645"/>
        </w:tabs>
        <w:rPr>
          <w:b/>
          <w:sz w:val="21"/>
          <w:szCs w:val="21"/>
        </w:rPr>
      </w:pPr>
      <w:r>
        <w:rPr>
          <w:rFonts w:hint="eastAsia"/>
          <w:b/>
          <w:sz w:val="21"/>
          <w:szCs w:val="21"/>
        </w:rPr>
        <w:t>□受审核方管理体系文件□适用的法律法规□认证合同</w:t>
      </w:r>
    </w:p>
    <w:p>
      <w:pPr>
        <w:tabs>
          <w:tab w:val="left" w:pos="645"/>
        </w:tabs>
        <w:rPr>
          <w:b/>
          <w:sz w:val="16"/>
          <w:szCs w:val="16"/>
        </w:rPr>
      </w:pPr>
      <w:r>
        <w:rPr>
          <w:rFonts w:hint="eastAsia"/>
          <w:b/>
          <w:sz w:val="26"/>
          <w:szCs w:val="26"/>
        </w:rPr>
        <w:t>四、受审核方基本信息</w:t>
      </w:r>
    </w:p>
    <w:tbl>
      <w:tblPr>
        <w:tblStyle w:val="5"/>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177"/>
        <w:gridCol w:w="1689"/>
        <w:gridCol w:w="1109"/>
        <w:gridCol w:w="1618"/>
        <w:gridCol w:w="1672"/>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2218" w:type="dxa"/>
            <w:gridSpan w:val="2"/>
            <w:vAlign w:val="center"/>
          </w:tcPr>
          <w:p>
            <w:pPr>
              <w:spacing w:line="260" w:lineRule="exact"/>
              <w:jc w:val="center"/>
              <w:rPr>
                <w:rFonts w:ascii="宋体"/>
                <w:b/>
                <w:sz w:val="16"/>
                <w:szCs w:val="16"/>
              </w:rPr>
            </w:pPr>
            <w:r>
              <w:rPr>
                <w:rFonts w:hint="eastAsia" w:ascii="宋体" w:hAnsi="宋体"/>
                <w:b/>
                <w:sz w:val="21"/>
              </w:rPr>
              <w:t>受审核方名称</w:t>
            </w:r>
          </w:p>
        </w:tc>
        <w:tc>
          <w:tcPr>
            <w:tcW w:w="4416" w:type="dxa"/>
            <w:gridSpan w:val="3"/>
          </w:tcPr>
          <w:p>
            <w:pPr>
              <w:spacing w:line="260" w:lineRule="exact"/>
              <w:rPr>
                <w:rFonts w:ascii="宋体"/>
                <w:b/>
                <w:color w:val="auto"/>
                <w:sz w:val="21"/>
              </w:rPr>
            </w:pPr>
            <w:bookmarkStart w:id="11" w:name="组织名称Add"/>
            <w:r>
              <w:rPr>
                <w:rFonts w:ascii="宋体"/>
                <w:b/>
                <w:color w:val="auto"/>
                <w:sz w:val="21"/>
              </w:rPr>
              <w:t>成都黄氏漆业有限公司</w:t>
            </w:r>
            <w:bookmarkEnd w:id="11"/>
          </w:p>
        </w:tc>
        <w:tc>
          <w:tcPr>
            <w:tcW w:w="1672" w:type="dxa"/>
            <w:vAlign w:val="center"/>
          </w:tcPr>
          <w:p>
            <w:pPr>
              <w:spacing w:line="260" w:lineRule="exact"/>
              <w:jc w:val="center"/>
              <w:rPr>
                <w:rFonts w:ascii="宋体"/>
                <w:b/>
                <w:color w:val="auto"/>
                <w:sz w:val="21"/>
              </w:rPr>
            </w:pPr>
            <w:r>
              <w:rPr>
                <w:rFonts w:hint="eastAsia" w:ascii="宋体" w:hAnsi="宋体"/>
                <w:b/>
                <w:color w:val="auto"/>
                <w:sz w:val="21"/>
              </w:rPr>
              <w:t>组织人数及</w:t>
            </w:r>
          </w:p>
          <w:p>
            <w:pPr>
              <w:spacing w:line="200" w:lineRule="exact"/>
              <w:rPr>
                <w:b/>
                <w:color w:val="auto"/>
                <w:spacing w:val="-20"/>
              </w:rPr>
            </w:pPr>
            <w:r>
              <w:rPr>
                <w:rFonts w:hint="eastAsia" w:ascii="宋体" w:hAnsi="宋体"/>
                <w:b/>
                <w:color w:val="auto"/>
                <w:sz w:val="21"/>
              </w:rPr>
              <w:t>变动情况核实</w:t>
            </w:r>
          </w:p>
        </w:tc>
        <w:tc>
          <w:tcPr>
            <w:tcW w:w="1500" w:type="dxa"/>
          </w:tcPr>
          <w:p>
            <w:pPr>
              <w:spacing w:line="260" w:lineRule="exact"/>
              <w:rPr>
                <w:rFonts w:hint="default" w:ascii="宋体" w:eastAsia="宋体"/>
                <w:b/>
                <w:sz w:val="21"/>
                <w:lang w:val="en-US" w:eastAsia="zh-CN"/>
              </w:rPr>
            </w:pPr>
            <w:r>
              <w:rPr>
                <w:rFonts w:hint="eastAsia" w:ascii="宋体"/>
                <w:b/>
                <w:sz w:val="21"/>
                <w:lang w:val="en-US" w:eastAsia="zh-CN"/>
              </w:rPr>
              <w:t>38人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218" w:type="dxa"/>
            <w:gridSpan w:val="2"/>
            <w:vAlign w:val="center"/>
          </w:tcPr>
          <w:p>
            <w:pPr>
              <w:jc w:val="center"/>
              <w:rPr>
                <w:b/>
                <w:sz w:val="16"/>
                <w:szCs w:val="16"/>
              </w:rPr>
            </w:pPr>
            <w:r>
              <w:rPr>
                <w:rFonts w:hint="eastAsia" w:ascii="宋体" w:hAnsi="宋体"/>
                <w:b/>
                <w:sz w:val="21"/>
                <w:szCs w:val="21"/>
              </w:rPr>
              <w:t>注册地址</w:t>
            </w:r>
          </w:p>
        </w:tc>
        <w:tc>
          <w:tcPr>
            <w:tcW w:w="4416" w:type="dxa"/>
            <w:gridSpan w:val="3"/>
          </w:tcPr>
          <w:p>
            <w:pPr>
              <w:rPr>
                <w:rFonts w:ascii="宋体"/>
                <w:b/>
                <w:sz w:val="21"/>
              </w:rPr>
            </w:pPr>
            <w:bookmarkStart w:id="12" w:name="注册地址"/>
            <w:r>
              <w:rPr>
                <w:rFonts w:ascii="宋体"/>
                <w:b/>
                <w:sz w:val="21"/>
              </w:rPr>
              <w:t>成都市郫县成都现代工业港北片区港中路9号</w:t>
            </w:r>
            <w:bookmarkEnd w:id="12"/>
          </w:p>
        </w:tc>
        <w:tc>
          <w:tcPr>
            <w:tcW w:w="1672" w:type="dxa"/>
            <w:vMerge w:val="restart"/>
            <w:vAlign w:val="center"/>
          </w:tcPr>
          <w:p>
            <w:pPr>
              <w:jc w:val="center"/>
              <w:rPr>
                <w:rFonts w:ascii="宋体"/>
                <w:b/>
                <w:sz w:val="21"/>
              </w:rPr>
            </w:pPr>
            <w:r>
              <w:rPr>
                <w:rFonts w:hint="eastAsia" w:ascii="宋体" w:hAnsi="宋体"/>
                <w:b/>
                <w:sz w:val="21"/>
              </w:rPr>
              <w:t>邮编</w:t>
            </w:r>
          </w:p>
        </w:tc>
        <w:tc>
          <w:tcPr>
            <w:tcW w:w="1500" w:type="dxa"/>
          </w:tcPr>
          <w:p>
            <w:pPr>
              <w:rPr>
                <w:rFonts w:ascii="宋体"/>
                <w:b/>
                <w:sz w:val="21"/>
              </w:rPr>
            </w:pPr>
            <w:bookmarkStart w:id="13" w:name="注册邮编"/>
            <w:r>
              <w:rPr>
                <w:rFonts w:ascii="宋体"/>
                <w:b/>
                <w:sz w:val="21"/>
              </w:rPr>
              <w:t>611730</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218" w:type="dxa"/>
            <w:gridSpan w:val="2"/>
            <w:vAlign w:val="center"/>
          </w:tcPr>
          <w:p>
            <w:pPr>
              <w:jc w:val="center"/>
              <w:rPr>
                <w:rFonts w:ascii="宋体"/>
                <w:b/>
                <w:sz w:val="21"/>
                <w:szCs w:val="21"/>
              </w:rPr>
            </w:pPr>
            <w:r>
              <w:rPr>
                <w:rFonts w:hint="eastAsia" w:ascii="宋体" w:hAnsi="宋体"/>
                <w:b/>
                <w:sz w:val="21"/>
                <w:szCs w:val="21"/>
              </w:rPr>
              <w:t>经营地址</w:t>
            </w:r>
          </w:p>
        </w:tc>
        <w:tc>
          <w:tcPr>
            <w:tcW w:w="4416" w:type="dxa"/>
            <w:gridSpan w:val="3"/>
          </w:tcPr>
          <w:p>
            <w:pPr>
              <w:rPr>
                <w:rFonts w:ascii="宋体"/>
                <w:b/>
                <w:sz w:val="21"/>
              </w:rPr>
            </w:pPr>
            <w:bookmarkStart w:id="14" w:name="办公地址"/>
            <w:r>
              <w:rPr>
                <w:rFonts w:ascii="宋体"/>
                <w:b/>
                <w:sz w:val="21"/>
              </w:rPr>
              <w:t>成都市郫县成都现代工业港北片区港中路9号</w:t>
            </w:r>
            <w:bookmarkEnd w:id="14"/>
          </w:p>
        </w:tc>
        <w:tc>
          <w:tcPr>
            <w:tcW w:w="1672" w:type="dxa"/>
            <w:vMerge w:val="continue"/>
            <w:vAlign w:val="center"/>
          </w:tcPr>
          <w:p>
            <w:pPr>
              <w:jc w:val="center"/>
              <w:rPr>
                <w:rFonts w:ascii="宋体"/>
                <w:b/>
                <w:sz w:val="21"/>
              </w:rPr>
            </w:pPr>
          </w:p>
        </w:tc>
        <w:tc>
          <w:tcPr>
            <w:tcW w:w="1500" w:type="dxa"/>
          </w:tcPr>
          <w:p>
            <w:pPr>
              <w:rPr>
                <w:rFonts w:ascii="宋体"/>
                <w:b/>
                <w:sz w:val="21"/>
              </w:rPr>
            </w:pPr>
            <w:bookmarkStart w:id="15" w:name="办公邮编"/>
            <w:r>
              <w:rPr>
                <w:rFonts w:ascii="宋体"/>
                <w:b/>
                <w:sz w:val="21"/>
              </w:rPr>
              <w:t>611730</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218" w:type="dxa"/>
            <w:gridSpan w:val="2"/>
            <w:vAlign w:val="center"/>
          </w:tcPr>
          <w:p>
            <w:pPr>
              <w:jc w:val="center"/>
              <w:rPr>
                <w:rFonts w:ascii="宋体"/>
                <w:b/>
                <w:color w:val="000000"/>
                <w:sz w:val="21"/>
                <w:szCs w:val="21"/>
              </w:rPr>
            </w:pPr>
            <w:r>
              <w:rPr>
                <w:rFonts w:hint="eastAsia" w:ascii="宋体" w:hAnsi="宋体"/>
                <w:b/>
                <w:color w:val="000000"/>
                <w:sz w:val="21"/>
                <w:szCs w:val="21"/>
              </w:rPr>
              <w:t>生产地址</w:t>
            </w:r>
          </w:p>
        </w:tc>
        <w:tc>
          <w:tcPr>
            <w:tcW w:w="4416" w:type="dxa"/>
            <w:gridSpan w:val="3"/>
          </w:tcPr>
          <w:p>
            <w:pPr>
              <w:rPr>
                <w:rFonts w:ascii="宋体"/>
                <w:b/>
                <w:sz w:val="21"/>
              </w:rPr>
            </w:pPr>
            <w:bookmarkStart w:id="16" w:name="生产地址Add"/>
            <w:r>
              <w:rPr>
                <w:rFonts w:ascii="宋体"/>
                <w:b/>
                <w:sz w:val="21"/>
              </w:rPr>
              <w:t>成都市郫县成都现代工业港北片区港中路9号</w:t>
            </w:r>
            <w:bookmarkEnd w:id="16"/>
          </w:p>
        </w:tc>
        <w:tc>
          <w:tcPr>
            <w:tcW w:w="1672" w:type="dxa"/>
            <w:vMerge w:val="continue"/>
            <w:vAlign w:val="center"/>
          </w:tcPr>
          <w:p>
            <w:pPr>
              <w:jc w:val="center"/>
              <w:rPr>
                <w:rFonts w:ascii="宋体"/>
                <w:b/>
                <w:sz w:val="21"/>
              </w:rPr>
            </w:pPr>
          </w:p>
        </w:tc>
        <w:tc>
          <w:tcPr>
            <w:tcW w:w="1500" w:type="dxa"/>
          </w:tcPr>
          <w:p>
            <w:pPr>
              <w:rPr>
                <w:rFonts w:ascii="宋体"/>
                <w:b/>
                <w:sz w:val="21"/>
              </w:rPr>
            </w:pPr>
            <w:bookmarkStart w:id="17" w:name="生产邮编"/>
            <w:r>
              <w:rPr>
                <w:rFonts w:ascii="宋体"/>
                <w:b/>
                <w:sz w:val="21"/>
              </w:rPr>
              <w:t>611730</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218" w:type="dxa"/>
            <w:gridSpan w:val="2"/>
            <w:vAlign w:val="center"/>
          </w:tcPr>
          <w:p>
            <w:pPr>
              <w:jc w:val="center"/>
              <w:rPr>
                <w:rFonts w:ascii="宋体"/>
                <w:b/>
                <w:sz w:val="21"/>
              </w:rPr>
            </w:pPr>
            <w:r>
              <w:rPr>
                <w:rFonts w:hint="eastAsia" w:ascii="宋体" w:hAnsi="宋体"/>
                <w:b/>
                <w:sz w:val="21"/>
              </w:rPr>
              <w:t>联系人</w:t>
            </w:r>
          </w:p>
        </w:tc>
        <w:tc>
          <w:tcPr>
            <w:tcW w:w="1689" w:type="dxa"/>
          </w:tcPr>
          <w:p>
            <w:pPr>
              <w:rPr>
                <w:rFonts w:ascii="宋体"/>
                <w:b/>
                <w:sz w:val="21"/>
              </w:rPr>
            </w:pPr>
            <w:bookmarkStart w:id="18" w:name="联系人"/>
            <w:r>
              <w:rPr>
                <w:rFonts w:ascii="宋体"/>
                <w:b/>
                <w:sz w:val="21"/>
              </w:rPr>
              <w:t>卢道宽</w:t>
            </w:r>
            <w:bookmarkEnd w:id="18"/>
          </w:p>
        </w:tc>
        <w:tc>
          <w:tcPr>
            <w:tcW w:w="1109" w:type="dxa"/>
            <w:vAlign w:val="center"/>
          </w:tcPr>
          <w:p>
            <w:pPr>
              <w:jc w:val="center"/>
              <w:rPr>
                <w:rFonts w:ascii="宋体"/>
                <w:b/>
                <w:sz w:val="21"/>
              </w:rPr>
            </w:pPr>
            <w:r>
              <w:rPr>
                <w:rFonts w:hint="eastAsia" w:ascii="宋体" w:hAnsi="宋体"/>
                <w:b/>
                <w:sz w:val="21"/>
              </w:rPr>
              <w:t>电话</w:t>
            </w:r>
            <w:r>
              <w:rPr>
                <w:b/>
                <w:sz w:val="16"/>
                <w:szCs w:val="16"/>
              </w:rPr>
              <w:t>.</w:t>
            </w:r>
          </w:p>
        </w:tc>
        <w:tc>
          <w:tcPr>
            <w:tcW w:w="1618" w:type="dxa"/>
            <w:vAlign w:val="center"/>
          </w:tcPr>
          <w:p>
            <w:pPr>
              <w:jc w:val="center"/>
              <w:rPr>
                <w:rFonts w:ascii="宋体"/>
                <w:b/>
                <w:sz w:val="21"/>
              </w:rPr>
            </w:pPr>
            <w:bookmarkStart w:id="19" w:name="联系人电话Add"/>
            <w:r>
              <w:rPr>
                <w:rFonts w:ascii="宋体"/>
                <w:b/>
                <w:sz w:val="21"/>
              </w:rPr>
              <w:t>028-87881012</w:t>
            </w:r>
            <w:bookmarkEnd w:id="19"/>
          </w:p>
        </w:tc>
        <w:tc>
          <w:tcPr>
            <w:tcW w:w="1672" w:type="dxa"/>
            <w:vAlign w:val="center"/>
          </w:tcPr>
          <w:p>
            <w:pPr>
              <w:jc w:val="center"/>
              <w:rPr>
                <w:rFonts w:ascii="宋体"/>
                <w:b/>
                <w:sz w:val="21"/>
              </w:rPr>
            </w:pPr>
            <w:r>
              <w:rPr>
                <w:rFonts w:hint="eastAsia" w:ascii="宋体" w:hAnsi="宋体"/>
                <w:b/>
                <w:sz w:val="21"/>
              </w:rPr>
              <w:t>传真</w:t>
            </w:r>
          </w:p>
        </w:tc>
        <w:tc>
          <w:tcPr>
            <w:tcW w:w="1500" w:type="dxa"/>
          </w:tcPr>
          <w:p>
            <w:pPr>
              <w:rPr>
                <w:rFonts w:ascii="宋体"/>
                <w:b/>
                <w:sz w:val="21"/>
              </w:rPr>
            </w:pPr>
            <w:bookmarkStart w:id="20" w:name="联系人传真"/>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法人代表</w:t>
            </w:r>
          </w:p>
        </w:tc>
        <w:tc>
          <w:tcPr>
            <w:tcW w:w="1689" w:type="dxa"/>
          </w:tcPr>
          <w:p>
            <w:pPr>
              <w:rPr>
                <w:rFonts w:ascii="宋体" w:hAnsi="宋体"/>
                <w:b/>
                <w:sz w:val="21"/>
                <w:szCs w:val="21"/>
              </w:rPr>
            </w:pPr>
            <w:bookmarkStart w:id="21" w:name="法人"/>
            <w:r>
              <w:rPr>
                <w:rFonts w:ascii="宋体" w:hAnsi="宋体"/>
                <w:b/>
                <w:sz w:val="21"/>
                <w:szCs w:val="21"/>
              </w:rPr>
              <w:t>黄茂林</w:t>
            </w:r>
            <w:bookmarkEnd w:id="21"/>
          </w:p>
        </w:tc>
        <w:tc>
          <w:tcPr>
            <w:tcW w:w="1109" w:type="dxa"/>
            <w:vAlign w:val="center"/>
          </w:tcPr>
          <w:p>
            <w:pPr>
              <w:jc w:val="center"/>
              <w:rPr>
                <w:rFonts w:ascii="宋体" w:hAnsi="宋体"/>
                <w:b/>
                <w:sz w:val="21"/>
                <w:szCs w:val="21"/>
              </w:rPr>
            </w:pPr>
            <w:r>
              <w:rPr>
                <w:rFonts w:hint="eastAsia" w:ascii="宋体" w:hAnsi="宋体"/>
                <w:b/>
                <w:sz w:val="21"/>
                <w:szCs w:val="21"/>
              </w:rPr>
              <w:t>总经理</w:t>
            </w:r>
          </w:p>
        </w:tc>
        <w:tc>
          <w:tcPr>
            <w:tcW w:w="1618" w:type="dxa"/>
          </w:tcPr>
          <w:p>
            <w:pPr>
              <w:rPr>
                <w:rFonts w:ascii="宋体" w:hAnsi="宋体"/>
                <w:b/>
                <w:sz w:val="21"/>
                <w:szCs w:val="21"/>
              </w:rPr>
            </w:pPr>
            <w:r>
              <w:rPr>
                <w:rFonts w:ascii="宋体" w:hAnsi="宋体"/>
                <w:b/>
                <w:sz w:val="21"/>
                <w:szCs w:val="21"/>
              </w:rPr>
              <w:t>黄茂林</w:t>
            </w:r>
          </w:p>
        </w:tc>
        <w:tc>
          <w:tcPr>
            <w:tcW w:w="1672" w:type="dxa"/>
            <w:vAlign w:val="center"/>
          </w:tcPr>
          <w:p>
            <w:pPr>
              <w:jc w:val="center"/>
              <w:rPr>
                <w:rFonts w:ascii="宋体" w:hAnsi="宋体"/>
                <w:b/>
                <w:sz w:val="21"/>
                <w:szCs w:val="21"/>
              </w:rPr>
            </w:pPr>
            <w:r>
              <w:rPr>
                <w:rFonts w:hint="eastAsia" w:ascii="宋体" w:hAnsi="宋体"/>
                <w:b/>
                <w:sz w:val="21"/>
                <w:szCs w:val="21"/>
              </w:rPr>
              <w:t>管理者代表</w:t>
            </w:r>
          </w:p>
        </w:tc>
        <w:tc>
          <w:tcPr>
            <w:tcW w:w="1500" w:type="dxa"/>
          </w:tcPr>
          <w:p>
            <w:pPr>
              <w:rPr>
                <w:rFonts w:ascii="宋体"/>
                <w:b/>
                <w:sz w:val="21"/>
              </w:rPr>
            </w:pPr>
            <w:bookmarkStart w:id="22" w:name="管理者代表"/>
            <w:r>
              <w:rPr>
                <w:rFonts w:ascii="宋体"/>
                <w:b/>
                <w:sz w:val="21"/>
              </w:rPr>
              <w:t>卢道宽</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审核日期</w:t>
            </w:r>
          </w:p>
        </w:tc>
        <w:tc>
          <w:tcPr>
            <w:tcW w:w="2798" w:type="dxa"/>
            <w:gridSpan w:val="2"/>
            <w:vAlign w:val="center"/>
          </w:tcPr>
          <w:p>
            <w:pPr>
              <w:rPr>
                <w:rFonts w:ascii="宋体" w:hAnsi="宋体"/>
                <w:b/>
                <w:sz w:val="21"/>
                <w:szCs w:val="21"/>
              </w:rPr>
            </w:pPr>
            <w:bookmarkStart w:id="23" w:name="审核日期"/>
            <w:r>
              <w:rPr>
                <w:rFonts w:ascii="宋体" w:hAnsi="宋体"/>
                <w:b/>
                <w:sz w:val="21"/>
                <w:szCs w:val="21"/>
              </w:rPr>
              <w:t xml:space="preserve">2020年09月27日 上午至2020年09月29日 </w:t>
            </w:r>
            <w:r>
              <w:rPr>
                <w:rFonts w:hint="eastAsia" w:ascii="宋体" w:hAnsi="宋体"/>
                <w:b/>
                <w:sz w:val="21"/>
                <w:szCs w:val="21"/>
                <w:lang w:val="en-US" w:eastAsia="zh-CN"/>
              </w:rPr>
              <w:t>下</w:t>
            </w:r>
            <w:r>
              <w:rPr>
                <w:rFonts w:ascii="宋体" w:hAnsi="宋体"/>
                <w:b/>
                <w:sz w:val="21"/>
                <w:szCs w:val="21"/>
              </w:rPr>
              <w:t>午</w:t>
            </w:r>
            <w:bookmarkEnd w:id="23"/>
          </w:p>
        </w:tc>
        <w:tc>
          <w:tcPr>
            <w:tcW w:w="1618" w:type="dxa"/>
            <w:vAlign w:val="center"/>
          </w:tcPr>
          <w:p>
            <w:pPr>
              <w:rPr>
                <w:rFonts w:ascii="宋体" w:hAnsi="宋体"/>
                <w:b/>
                <w:sz w:val="21"/>
                <w:szCs w:val="21"/>
              </w:rPr>
            </w:pPr>
            <w:r>
              <w:rPr>
                <w:rFonts w:hint="eastAsia" w:ascii="宋体" w:hAnsi="宋体"/>
                <w:b/>
                <w:sz w:val="21"/>
                <w:szCs w:val="21"/>
              </w:rPr>
              <w:t>一体化审核</w:t>
            </w:r>
          </w:p>
        </w:tc>
        <w:tc>
          <w:tcPr>
            <w:tcW w:w="3172" w:type="dxa"/>
            <w:gridSpan w:val="2"/>
            <w:vAlign w:val="center"/>
          </w:tcPr>
          <w:p>
            <w:pPr>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6"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7588" w:type="dxa"/>
            <w:gridSpan w:val="5"/>
          </w:tcPr>
          <w:p>
            <w:pPr>
              <w:spacing w:line="0" w:lineRule="atLeast"/>
              <w:jc w:val="left"/>
              <w:rPr>
                <w:sz w:val="20"/>
              </w:rPr>
            </w:pPr>
            <w:bookmarkStart w:id="24" w:name="Q勾选15Add1"/>
            <w:r>
              <w:rPr>
                <w:rFonts w:hint="eastAsia" w:ascii="宋体" w:hAnsi="宋体"/>
                <w:b/>
                <w:sz w:val="21"/>
                <w:szCs w:val="21"/>
              </w:rPr>
              <w:t>■</w:t>
            </w:r>
            <w:bookmarkEnd w:id="24"/>
            <w:r>
              <w:rPr>
                <w:rFonts w:ascii="宋体" w:hAnsi="宋体"/>
                <w:b/>
                <w:sz w:val="21"/>
                <w:szCs w:val="21"/>
              </w:rPr>
              <w:t>QMS</w:t>
            </w:r>
            <w:r>
              <w:rPr>
                <w:rFonts w:hint="eastAsia" w:ascii="宋体" w:hAnsi="宋体"/>
                <w:b/>
                <w:sz w:val="21"/>
                <w:szCs w:val="21"/>
              </w:rPr>
              <w:t>：</w:t>
            </w:r>
            <w:bookmarkStart w:id="25" w:name="审核范围"/>
            <w:r>
              <w:rPr>
                <w:rFonts w:ascii="Helvetica" w:hAnsi="Helvetica" w:eastAsia="Helvetica" w:cs="Helvetica"/>
                <w:i w:val="0"/>
                <w:caps w:val="0"/>
                <w:color w:val="000000"/>
                <w:spacing w:val="0"/>
                <w:sz w:val="21"/>
                <w:szCs w:val="21"/>
                <w:u w:val="none"/>
                <w:shd w:val="clear" w:fill="FFFFFF"/>
              </w:rPr>
              <w:t>涂料、胶粘剂、墙体保温材料（聚合聚苯板、水泥基发泡保温材料）的生产（需资质许可除外</w:t>
            </w:r>
            <w:bookmarkStart w:id="29" w:name="_GoBack"/>
            <w:bookmarkEnd w:id="29"/>
            <w:r>
              <w:rPr>
                <w:rFonts w:ascii="Helvetica" w:hAnsi="Helvetica" w:eastAsia="Helvetica" w:cs="Helvetica"/>
                <w:i w:val="0"/>
                <w:caps w:val="0"/>
                <w:color w:val="000000"/>
                <w:spacing w:val="0"/>
                <w:sz w:val="21"/>
                <w:szCs w:val="21"/>
                <w:u w:val="none"/>
                <w:shd w:val="clear" w:fill="FFFFFF"/>
              </w:rPr>
              <w:t>）</w:t>
            </w:r>
            <w:bookmarkEnd w:id="25"/>
          </w:p>
          <w:p>
            <w:pPr>
              <w:rPr>
                <w:rFonts w:ascii="宋体" w:hAnsi="宋体"/>
                <w:b/>
                <w:sz w:val="21"/>
                <w:szCs w:val="21"/>
              </w:rPr>
            </w:pPr>
            <w:bookmarkStart w:id="26" w:name="E勾选Add1"/>
            <w:r>
              <w:rPr>
                <w:rFonts w:hint="eastAsia" w:ascii="宋体" w:hAnsi="宋体"/>
                <w:b/>
                <w:sz w:val="21"/>
                <w:szCs w:val="21"/>
              </w:rPr>
              <w:t>■</w:t>
            </w:r>
            <w:bookmarkEnd w:id="26"/>
            <w:r>
              <w:rPr>
                <w:rFonts w:ascii="宋体" w:hAnsi="宋体"/>
                <w:b/>
                <w:sz w:val="21"/>
                <w:szCs w:val="21"/>
              </w:rPr>
              <w:t>EMS</w:t>
            </w:r>
            <w:r>
              <w:rPr>
                <w:rFonts w:hint="eastAsia" w:ascii="宋体" w:hAnsi="宋体"/>
                <w:b/>
                <w:sz w:val="21"/>
                <w:szCs w:val="21"/>
              </w:rPr>
              <w:t>：</w:t>
            </w:r>
            <w:r>
              <w:rPr>
                <w:rFonts w:ascii="Helvetica" w:hAnsi="Helvetica" w:eastAsia="Helvetica" w:cs="Helvetica"/>
                <w:i w:val="0"/>
                <w:caps w:val="0"/>
                <w:color w:val="000000"/>
                <w:spacing w:val="0"/>
                <w:sz w:val="21"/>
                <w:szCs w:val="21"/>
                <w:u w:val="none"/>
                <w:shd w:val="clear" w:fill="FFFFFF"/>
              </w:rPr>
              <w:t>涂料、胶粘剂、墙体保温材料（聚合聚苯板、水泥基发泡保温材料）的生产（需资质许可除外）及相关环境管理活动</w:t>
            </w:r>
          </w:p>
          <w:p>
            <w:pPr>
              <w:spacing w:line="360" w:lineRule="exact"/>
              <w:rPr>
                <w:rFonts w:ascii="宋体" w:hAnsi="宋体"/>
                <w:b/>
                <w:sz w:val="21"/>
                <w:szCs w:val="21"/>
              </w:rPr>
            </w:pPr>
            <w:bookmarkStart w:id="27" w:name="S勾选Add2"/>
            <w:r>
              <w:rPr>
                <w:rFonts w:hint="eastAsia" w:ascii="宋体" w:hAnsi="宋体"/>
                <w:b/>
                <w:sz w:val="21"/>
                <w:szCs w:val="21"/>
              </w:rPr>
              <w:t>□</w:t>
            </w:r>
            <w:bookmarkEnd w:id="27"/>
            <w:r>
              <w:rPr>
                <w:rFonts w:ascii="宋体" w:hAnsi="宋体"/>
                <w:b/>
                <w:sz w:val="21"/>
                <w:szCs w:val="21"/>
              </w:rPr>
              <w:t>OHSMS</w:t>
            </w: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1041"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p>
            <w:pPr>
              <w:spacing w:line="180" w:lineRule="exact"/>
              <w:jc w:val="center"/>
              <w:rPr>
                <w:rFonts w:ascii="宋体" w:hAnsi="宋体"/>
                <w:b/>
                <w:sz w:val="21"/>
                <w:szCs w:val="21"/>
              </w:rPr>
            </w:pPr>
          </w:p>
        </w:tc>
        <w:tc>
          <w:tcPr>
            <w:tcW w:w="1177" w:type="dxa"/>
            <w:vAlign w:val="center"/>
          </w:tcPr>
          <w:p>
            <w:pPr>
              <w:spacing w:line="260" w:lineRule="exact"/>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是</w:t>
            </w:r>
          </w:p>
          <w:p>
            <w:pPr>
              <w:spacing w:line="260" w:lineRule="exact"/>
              <w:jc w:val="center"/>
              <w:rPr>
                <w:rFonts w:ascii="宋体" w:hAnsi="宋体"/>
                <w:b/>
                <w:sz w:val="21"/>
                <w:szCs w:val="21"/>
              </w:rPr>
            </w:pPr>
          </w:p>
          <w:p>
            <w:pPr>
              <w:spacing w:line="260" w:lineRule="exact"/>
              <w:rPr>
                <w:rFonts w:ascii="宋体" w:hAnsi="宋体"/>
                <w:b/>
                <w:sz w:val="21"/>
                <w:szCs w:val="21"/>
              </w:rPr>
            </w:pPr>
            <w:r>
              <w:rPr>
                <w:rFonts w:hint="eastAsia" w:ascii="宋体" w:hAnsi="宋体"/>
                <w:b/>
                <w:sz w:val="21"/>
                <w:szCs w:val="21"/>
              </w:rPr>
              <w:sym w:font="Wingdings 2" w:char="00A3"/>
            </w:r>
            <w:r>
              <w:rPr>
                <w:rFonts w:hint="eastAsia" w:ascii="宋体" w:hAnsi="宋体"/>
                <w:b/>
                <w:sz w:val="21"/>
                <w:szCs w:val="21"/>
              </w:rPr>
              <w:t>否</w:t>
            </w:r>
          </w:p>
        </w:tc>
        <w:tc>
          <w:tcPr>
            <w:tcW w:w="7588" w:type="dxa"/>
            <w:gridSpan w:val="5"/>
          </w:tcPr>
          <w:p>
            <w:pPr>
              <w:spacing w:line="360" w:lineRule="exact"/>
              <w:rPr>
                <w:rFonts w:hint="eastAsia" w:ascii="宋体" w:hAnsi="宋体"/>
                <w:b/>
                <w:sz w:val="21"/>
                <w:szCs w:val="21"/>
                <w:lang w:val="en-US" w:eastAsia="zh-CN"/>
              </w:rPr>
            </w:pPr>
            <w:r>
              <w:rPr>
                <w:rFonts w:hint="eastAsia" w:ascii="宋体" w:hAnsi="宋体"/>
                <w:b/>
                <w:sz w:val="21"/>
                <w:szCs w:val="21"/>
              </w:rPr>
              <w:t>变更的认证范围</w:t>
            </w:r>
            <w:r>
              <w:rPr>
                <w:rFonts w:ascii="宋体" w:hAnsi="宋体"/>
                <w:b/>
                <w:sz w:val="21"/>
                <w:szCs w:val="21"/>
              </w:rPr>
              <w:t xml:space="preserve">:    </w:t>
            </w:r>
            <w:r>
              <w:rPr>
                <w:rFonts w:hint="eastAsia" w:ascii="宋体" w:hAnsi="宋体"/>
                <w:b/>
                <w:sz w:val="21"/>
                <w:szCs w:val="21"/>
                <w:lang w:val="en-US" w:eastAsia="zh-CN"/>
              </w:rPr>
              <w:t>原人数：24人</w:t>
            </w:r>
          </w:p>
          <w:p>
            <w:pPr>
              <w:spacing w:line="360" w:lineRule="exact"/>
              <w:rPr>
                <w:rFonts w:hint="default" w:ascii="宋体" w:hAnsi="宋体"/>
                <w:b/>
                <w:sz w:val="21"/>
                <w:szCs w:val="21"/>
                <w:lang w:val="en-US" w:eastAsia="zh-CN"/>
              </w:rPr>
            </w:pPr>
            <w:r>
              <w:rPr>
                <w:rFonts w:hint="eastAsia" w:ascii="宋体" w:hAnsi="宋体"/>
                <w:b/>
                <w:sz w:val="21"/>
                <w:szCs w:val="21"/>
                <w:lang w:val="en-US" w:eastAsia="zh-CN"/>
              </w:rPr>
              <w:t xml:space="preserve">                   变更后人数：38人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专业代码</w:t>
            </w:r>
          </w:p>
        </w:tc>
        <w:tc>
          <w:tcPr>
            <w:tcW w:w="1689" w:type="dxa"/>
          </w:tcPr>
          <w:p>
            <w:pPr>
              <w:spacing w:line="260" w:lineRule="exact"/>
              <w:rPr>
                <w:rFonts w:ascii="宋体" w:hAnsi="宋体"/>
                <w:b/>
                <w:sz w:val="21"/>
                <w:szCs w:val="21"/>
              </w:rPr>
            </w:pPr>
            <w:bookmarkStart w:id="28" w:name="专业代码"/>
            <w:r>
              <w:rPr>
                <w:rFonts w:ascii="宋体" w:hAnsi="宋体"/>
                <w:b/>
                <w:sz w:val="21"/>
                <w:szCs w:val="21"/>
              </w:rPr>
              <w:t>Q：12.03.00;12.05.02;14.02.01;16.02.05</w:t>
            </w:r>
          </w:p>
          <w:p>
            <w:pPr>
              <w:spacing w:line="260" w:lineRule="exact"/>
              <w:rPr>
                <w:rFonts w:ascii="宋体" w:hAnsi="宋体"/>
                <w:b/>
                <w:sz w:val="21"/>
                <w:szCs w:val="21"/>
              </w:rPr>
            </w:pPr>
            <w:r>
              <w:rPr>
                <w:rFonts w:ascii="宋体" w:hAnsi="宋体"/>
                <w:b/>
                <w:sz w:val="21"/>
                <w:szCs w:val="21"/>
              </w:rPr>
              <w:t>E：12.03.00;12.05.02;14.02.01;16.02.05</w:t>
            </w:r>
            <w:bookmarkEnd w:id="28"/>
          </w:p>
        </w:tc>
        <w:tc>
          <w:tcPr>
            <w:tcW w:w="1109" w:type="dxa"/>
            <w:vAlign w:val="center"/>
          </w:tcPr>
          <w:p>
            <w:pPr>
              <w:spacing w:line="260" w:lineRule="exact"/>
              <w:jc w:val="center"/>
              <w:rPr>
                <w:rFonts w:ascii="宋体" w:hAnsi="宋体"/>
                <w:b/>
                <w:sz w:val="21"/>
                <w:szCs w:val="21"/>
              </w:rPr>
            </w:pPr>
            <w:r>
              <w:rPr>
                <w:rFonts w:hint="eastAsia" w:ascii="宋体" w:hAnsi="宋体"/>
                <w:b/>
                <w:sz w:val="21"/>
                <w:szCs w:val="21"/>
              </w:rPr>
              <w:t>证书有</w:t>
            </w:r>
          </w:p>
          <w:p>
            <w:pPr>
              <w:spacing w:line="260" w:lineRule="exact"/>
              <w:jc w:val="center"/>
              <w:rPr>
                <w:rFonts w:ascii="宋体" w:hAnsi="宋体"/>
                <w:b/>
                <w:sz w:val="21"/>
                <w:szCs w:val="21"/>
              </w:rPr>
            </w:pPr>
            <w:r>
              <w:rPr>
                <w:rFonts w:hint="eastAsia" w:ascii="宋体" w:hAnsi="宋体"/>
                <w:b/>
                <w:sz w:val="21"/>
                <w:szCs w:val="21"/>
              </w:rPr>
              <w:t>效期</w:t>
            </w:r>
          </w:p>
        </w:tc>
        <w:tc>
          <w:tcPr>
            <w:tcW w:w="1618" w:type="dxa"/>
          </w:tcPr>
          <w:p>
            <w:pPr>
              <w:spacing w:line="260" w:lineRule="exact"/>
              <w:rPr>
                <w:rFonts w:ascii="宋体" w:hAnsi="宋体"/>
                <w:b/>
                <w:sz w:val="21"/>
                <w:szCs w:val="21"/>
              </w:rPr>
            </w:pPr>
            <w:r>
              <w:rPr>
                <w:rFonts w:ascii="Helvetica" w:hAnsi="Helvetica" w:eastAsia="Helvetica" w:cs="Helvetica"/>
                <w:i w:val="0"/>
                <w:caps w:val="0"/>
                <w:color w:val="000000"/>
                <w:spacing w:val="0"/>
                <w:sz w:val="21"/>
                <w:szCs w:val="21"/>
                <w:u w:val="none"/>
                <w:shd w:val="clear" w:fill="FFFFFF"/>
              </w:rPr>
              <w:t>2022-09-03</w:t>
            </w:r>
          </w:p>
        </w:tc>
        <w:tc>
          <w:tcPr>
            <w:tcW w:w="1672" w:type="dxa"/>
            <w:vAlign w:val="center"/>
          </w:tcPr>
          <w:p>
            <w:pPr>
              <w:spacing w:line="260" w:lineRule="exact"/>
              <w:jc w:val="center"/>
              <w:rPr>
                <w:rFonts w:ascii="宋体" w:hAnsi="宋体"/>
                <w:b/>
                <w:sz w:val="21"/>
                <w:szCs w:val="21"/>
              </w:rPr>
            </w:pPr>
            <w:r>
              <w:rPr>
                <w:rFonts w:hint="eastAsia" w:ascii="宋体" w:hAnsi="宋体"/>
                <w:b/>
                <w:sz w:val="21"/>
                <w:szCs w:val="21"/>
              </w:rPr>
              <w:t>上年度</w:t>
            </w:r>
          </w:p>
          <w:p>
            <w:pPr>
              <w:spacing w:line="260" w:lineRule="exact"/>
              <w:jc w:val="center"/>
              <w:rPr>
                <w:rFonts w:ascii="宋体" w:hAnsi="宋体"/>
                <w:b/>
                <w:sz w:val="21"/>
                <w:szCs w:val="21"/>
              </w:rPr>
            </w:pPr>
            <w:r>
              <w:rPr>
                <w:rFonts w:hint="eastAsia" w:ascii="宋体" w:hAnsi="宋体"/>
                <w:b/>
                <w:sz w:val="21"/>
                <w:szCs w:val="21"/>
              </w:rPr>
              <w:t>审核日期</w:t>
            </w:r>
          </w:p>
        </w:tc>
        <w:tc>
          <w:tcPr>
            <w:tcW w:w="1500" w:type="dxa"/>
          </w:tcPr>
          <w:p>
            <w:pPr>
              <w:spacing w:line="260" w:lineRule="exact"/>
              <w:rPr>
                <w:rFonts w:ascii="宋体"/>
                <w:b/>
                <w:sz w:val="21"/>
              </w:rPr>
            </w:pPr>
            <w:r>
              <w:rPr>
                <w:rFonts w:ascii="Helvetica" w:hAnsi="Helvetica" w:eastAsia="Helvetica" w:cs="Helvetica"/>
                <w:i w:val="0"/>
                <w:caps w:val="0"/>
                <w:color w:val="000000"/>
                <w:spacing w:val="0"/>
                <w:sz w:val="21"/>
                <w:szCs w:val="21"/>
                <w:u w:val="none"/>
                <w:shd w:val="clear" w:fill="FFFFFF"/>
              </w:rPr>
              <w:t>2019-08-16</w:t>
            </w:r>
          </w:p>
        </w:tc>
      </w:tr>
    </w:tbl>
    <w:p>
      <w:pPr>
        <w:tabs>
          <w:tab w:val="left" w:pos="645"/>
        </w:tabs>
        <w:spacing w:after="163" w:afterLines="50" w:line="360" w:lineRule="exact"/>
        <w:rPr>
          <w:b/>
          <w:spacing w:val="-6"/>
          <w:sz w:val="16"/>
          <w:szCs w:val="16"/>
        </w:rPr>
      </w:pPr>
      <w:r>
        <w:rPr>
          <w:rFonts w:hint="eastAsia"/>
          <w:b/>
          <w:sz w:val="26"/>
          <w:szCs w:val="26"/>
        </w:rPr>
        <w:t>五、审核活动安排综述</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p>
    <w:p>
      <w:pPr>
        <w:spacing w:line="360" w:lineRule="atLeast"/>
        <w:ind w:firstLine="211" w:firstLineChars="100"/>
        <w:rPr>
          <w:rFonts w:ascii="宋体" w:hAnsi="宋体"/>
          <w:b/>
          <w:sz w:val="21"/>
          <w:szCs w:val="21"/>
        </w:rPr>
      </w:pP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p>
    <w:p>
      <w:pPr>
        <w:spacing w:line="360" w:lineRule="atLeast"/>
        <w:rPr>
          <w:rFonts w:hint="default" w:ascii="宋体" w:hAnsi="宋体" w:eastAsia="宋体"/>
          <w:b/>
          <w:sz w:val="21"/>
          <w:szCs w:val="21"/>
          <w:lang w:val="en-US" w:eastAsia="zh-CN"/>
        </w:rPr>
      </w:pPr>
      <w:r>
        <w:rPr>
          <w:rFonts w:ascii="宋体" w:hAnsi="宋体"/>
          <w:b/>
          <w:sz w:val="21"/>
          <w:szCs w:val="21"/>
        </w:rPr>
        <w:t xml:space="preserve">4. </w:t>
      </w:r>
      <w:r>
        <w:rPr>
          <w:rFonts w:hint="eastAsia" w:ascii="宋体" w:hAnsi="宋体"/>
          <w:b/>
          <w:sz w:val="21"/>
          <w:szCs w:val="21"/>
        </w:rPr>
        <w:t>本次审核覆盖时间：从上次审核结束日的</w:t>
      </w:r>
      <w:r>
        <w:rPr>
          <w:rFonts w:hint="eastAsia" w:ascii="宋体" w:hAnsi="宋体"/>
          <w:b/>
          <w:sz w:val="21"/>
          <w:szCs w:val="21"/>
          <w:lang w:val="en-US" w:eastAsia="zh-CN"/>
        </w:rPr>
        <w:t>2019年08月16日至2020年09月29日</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tabs>
          <w:tab w:val="left" w:pos="645"/>
        </w:tabs>
        <w:spacing w:before="326" w:beforeLines="100" w:after="163" w:afterLines="50" w:line="360" w:lineRule="exact"/>
        <w:rPr>
          <w:b/>
          <w:sz w:val="26"/>
          <w:szCs w:val="26"/>
        </w:rPr>
      </w:pPr>
      <w:r>
        <w:rPr>
          <w:rFonts w:hint="eastAsia"/>
          <w:b/>
          <w:sz w:val="26"/>
          <w:szCs w:val="26"/>
        </w:rPr>
        <w:t>六、审核证据及审核发现综述、</w:t>
      </w:r>
    </w:p>
    <w:tbl>
      <w:tblPr>
        <w:tblStyle w:val="5"/>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
        <w:gridCol w:w="89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07" w:hRule="atLeast"/>
          <w:jc w:val="center"/>
        </w:trPr>
        <w:tc>
          <w:tcPr>
            <w:tcW w:w="920" w:type="dxa"/>
            <w:vMerge w:val="restart"/>
            <w:textDirection w:val="tbRlV"/>
            <w:vAlign w:val="center"/>
          </w:tcPr>
          <w:p>
            <w:pPr>
              <w:spacing w:line="240" w:lineRule="exact"/>
              <w:ind w:left="241" w:right="113" w:hanging="241" w:hangingChars="100"/>
              <w:jc w:val="center"/>
              <w:rPr>
                <w:rFonts w:ascii="宋体"/>
                <w:b/>
                <w:szCs w:val="21"/>
              </w:rPr>
            </w:pPr>
            <w:r>
              <w:rPr>
                <w:rFonts w:ascii="宋体" w:hAnsi="宋体"/>
                <w:b/>
                <w:szCs w:val="21"/>
              </w:rPr>
              <w:t>(</w:t>
            </w:r>
            <w:r>
              <w:rPr>
                <w:rFonts w:hint="eastAsia" w:ascii="宋体" w:hAnsi="宋体"/>
                <w:b/>
                <w:szCs w:val="21"/>
              </w:rPr>
              <w:t>一</w:t>
            </w:r>
            <w:r>
              <w:rPr>
                <w:rFonts w:ascii="宋体" w:hAnsi="宋体"/>
                <w:b/>
                <w:szCs w:val="21"/>
              </w:rPr>
              <w:t>)</w:t>
            </w:r>
            <w:r>
              <w:rPr>
                <w:rFonts w:hint="eastAsia" w:ascii="宋体" w:hAnsi="宋体"/>
                <w:b/>
                <w:szCs w:val="21"/>
              </w:rPr>
              <w:t>策划的充分与合理性</w:t>
            </w:r>
          </w:p>
        </w:tc>
        <w:tc>
          <w:tcPr>
            <w:tcW w:w="8998" w:type="dxa"/>
          </w:tcPr>
          <w:p>
            <w:pPr>
              <w:spacing w:line="240" w:lineRule="exact"/>
              <w:rPr>
                <w:rFonts w:hint="eastAsia" w:ascii="宋体" w:hAnsi="宋体"/>
                <w:b/>
                <w:sz w:val="21"/>
                <w:szCs w:val="21"/>
                <w:highlight w:val="none"/>
              </w:rPr>
            </w:pPr>
            <w:r>
              <w:rPr>
                <w:rFonts w:ascii="宋体" w:hAnsi="宋体"/>
                <w:b/>
                <w:sz w:val="21"/>
                <w:szCs w:val="21"/>
              </w:rPr>
              <w:t>1</w:t>
            </w:r>
            <w:r>
              <w:rPr>
                <w:rFonts w:hint="eastAsia" w:ascii="宋体" w:hAnsi="宋体"/>
                <w:b/>
                <w:sz w:val="21"/>
                <w:szCs w:val="21"/>
              </w:rPr>
              <w:t>、组织及其环境的</w:t>
            </w:r>
            <w:r>
              <w:rPr>
                <w:rFonts w:hint="eastAsia" w:ascii="宋体" w:hAnsi="宋体"/>
                <w:b/>
                <w:sz w:val="21"/>
                <w:szCs w:val="21"/>
                <w:highlight w:val="none"/>
              </w:rPr>
              <w:t>识别情况</w:t>
            </w:r>
          </w:p>
          <w:p>
            <w:pPr>
              <w:spacing w:line="240" w:lineRule="exact"/>
              <w:ind w:firstLine="400" w:firstLineChars="200"/>
              <w:rPr>
                <w:rFonts w:hint="eastAsia" w:ascii="宋体" w:hAnsi="宋体"/>
                <w:b/>
                <w:sz w:val="21"/>
                <w:szCs w:val="21"/>
              </w:rPr>
            </w:pPr>
            <w:r>
              <w:rPr>
                <w:rFonts w:hint="eastAsia"/>
                <w:sz w:val="20"/>
                <w:szCs w:val="22"/>
                <w:highlight w:val="none"/>
              </w:rPr>
              <w:t>组织对内外部因素、相关方需求和期望进行了充分的识别，策划和实施有效。组织确定了体系的边界，基本适用。管理体系</w:t>
            </w:r>
            <w:r>
              <w:rPr>
                <w:rFonts w:hint="eastAsia"/>
                <w:sz w:val="20"/>
                <w:szCs w:val="22"/>
                <w:highlight w:val="none"/>
                <w:lang w:val="en-US" w:eastAsia="zh-CN"/>
              </w:rPr>
              <w:t>8.3</w:t>
            </w:r>
            <w:r>
              <w:rPr>
                <w:rFonts w:hint="eastAsia"/>
                <w:sz w:val="20"/>
                <w:szCs w:val="22"/>
                <w:highlight w:val="none"/>
              </w:rPr>
              <w:t>条款</w:t>
            </w:r>
            <w:r>
              <w:rPr>
                <w:rFonts w:hint="eastAsia"/>
                <w:sz w:val="20"/>
                <w:szCs w:val="22"/>
                <w:highlight w:val="none"/>
                <w:lang w:val="en-US" w:eastAsia="zh-CN"/>
              </w:rPr>
              <w:t>不</w:t>
            </w:r>
            <w:r>
              <w:rPr>
                <w:rFonts w:hint="eastAsia"/>
                <w:sz w:val="20"/>
                <w:szCs w:val="22"/>
                <w:highlight w:val="none"/>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67" w:hRule="atLeast"/>
          <w:jc w:val="center"/>
        </w:trPr>
        <w:tc>
          <w:tcPr>
            <w:tcW w:w="920" w:type="dxa"/>
            <w:vMerge w:val="continue"/>
            <w:textDirection w:val="tbRlV"/>
            <w:vAlign w:val="center"/>
          </w:tcPr>
          <w:p>
            <w:pPr>
              <w:spacing w:line="240" w:lineRule="exact"/>
              <w:ind w:left="241" w:right="113" w:hanging="241" w:hangingChars="100"/>
              <w:jc w:val="center"/>
              <w:rPr>
                <w:rFonts w:ascii="宋体"/>
                <w:b/>
                <w:szCs w:val="21"/>
              </w:rPr>
            </w:pPr>
          </w:p>
        </w:tc>
        <w:tc>
          <w:tcPr>
            <w:tcW w:w="8998" w:type="dxa"/>
            <w:vAlign w:val="top"/>
          </w:tcPr>
          <w:p>
            <w:pPr>
              <w:spacing w:line="240" w:lineRule="exact"/>
              <w:rPr>
                <w:b/>
                <w:color w:val="000000" w:themeColor="text1"/>
                <w:sz w:val="20"/>
                <w:szCs w:val="20"/>
              </w:rPr>
            </w:pPr>
            <w:r>
              <w:rPr>
                <w:b/>
                <w:color w:val="000000" w:themeColor="text1"/>
                <w:sz w:val="20"/>
                <w:szCs w:val="20"/>
              </w:rPr>
              <w:t>2、</w:t>
            </w:r>
            <w:r>
              <w:rPr>
                <w:rFonts w:hint="eastAsia"/>
                <w:b/>
                <w:color w:val="000000" w:themeColor="text1"/>
                <w:sz w:val="20"/>
                <w:szCs w:val="20"/>
              </w:rPr>
              <w:t>相关方需求和期望识别情况</w:t>
            </w:r>
          </w:p>
          <w:p>
            <w:pPr>
              <w:spacing w:line="240" w:lineRule="exact"/>
              <w:ind w:firstLine="400" w:firstLineChars="200"/>
              <w:rPr>
                <w:rFonts w:ascii="Times New Roman" w:hAnsi="Times New Roman" w:eastAsia="宋体" w:cs="Times New Roman"/>
                <w:b/>
                <w:color w:val="000000" w:themeColor="text1"/>
                <w:kern w:val="2"/>
                <w:sz w:val="20"/>
                <w:szCs w:val="20"/>
                <w:lang w:val="en-US" w:eastAsia="zh-CN" w:bidi="ar-SA"/>
              </w:rPr>
            </w:pPr>
            <w:r>
              <w:rPr>
                <w:rFonts w:hint="eastAsia"/>
                <w:sz w:val="20"/>
                <w:szCs w:val="22"/>
                <w:highlight w:val="none"/>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920" w:type="dxa"/>
            <w:vMerge w:val="continue"/>
            <w:textDirection w:val="tbRlV"/>
            <w:vAlign w:val="center"/>
          </w:tcPr>
          <w:p>
            <w:pPr>
              <w:spacing w:line="240" w:lineRule="exact"/>
              <w:ind w:left="241" w:right="113" w:hanging="241" w:hangingChars="100"/>
              <w:jc w:val="center"/>
              <w:rPr>
                <w:rFonts w:ascii="宋体"/>
                <w:b/>
                <w:szCs w:val="21"/>
              </w:rPr>
            </w:pPr>
          </w:p>
        </w:tc>
        <w:tc>
          <w:tcPr>
            <w:tcW w:w="8998" w:type="dxa"/>
          </w:tcPr>
          <w:p>
            <w:pPr>
              <w:numPr>
                <w:ilvl w:val="0"/>
                <w:numId w:val="0"/>
              </w:numPr>
              <w:spacing w:line="360" w:lineRule="auto"/>
              <w:jc w:val="left"/>
              <w:rPr>
                <w:rFonts w:hint="eastAsia" w:ascii="宋体" w:hAnsi="宋体"/>
                <w:b/>
                <w:sz w:val="21"/>
                <w:szCs w:val="21"/>
              </w:rPr>
            </w:pPr>
            <w:r>
              <w:rPr>
                <w:rFonts w:hint="eastAsia" w:ascii="宋体" w:hAnsi="宋体"/>
                <w:b/>
                <w:sz w:val="21"/>
                <w:szCs w:val="21"/>
                <w:lang w:val="en-US" w:eastAsia="zh-CN"/>
              </w:rPr>
              <w:t>3、</w:t>
            </w:r>
            <w:r>
              <w:rPr>
                <w:rFonts w:hint="eastAsia" w:ascii="宋体" w:hAnsi="宋体"/>
                <w:b/>
                <w:sz w:val="21"/>
                <w:szCs w:val="21"/>
              </w:rPr>
              <w:sym w:font="Wingdings 2" w:char="0052"/>
            </w:r>
            <w:r>
              <w:rPr>
                <w:rFonts w:hint="eastAsia" w:ascii="宋体" w:hAnsi="宋体"/>
                <w:b/>
                <w:sz w:val="21"/>
                <w:szCs w:val="21"/>
              </w:rPr>
              <w:t>质量</w:t>
            </w:r>
            <w:r>
              <w:rPr>
                <w:rFonts w:ascii="宋体" w:hAnsi="宋体"/>
                <w:b/>
                <w:sz w:val="21"/>
                <w:szCs w:val="21"/>
              </w:rPr>
              <w:t>/</w:t>
            </w:r>
            <w:r>
              <w:rPr>
                <w:rFonts w:hint="eastAsia" w:ascii="宋体" w:hAnsi="宋体"/>
                <w:b/>
                <w:sz w:val="21"/>
                <w:szCs w:val="21"/>
              </w:rPr>
              <w:sym w:font="Wingdings 2" w:char="0052"/>
            </w:r>
            <w:r>
              <w:rPr>
                <w:rFonts w:hint="eastAsia" w:ascii="宋体" w:hAnsi="宋体"/>
                <w:b/>
                <w:sz w:val="21"/>
                <w:szCs w:val="21"/>
              </w:rPr>
              <w:t>环境</w:t>
            </w:r>
            <w:r>
              <w:rPr>
                <w:rFonts w:ascii="宋体" w:hAnsi="宋体"/>
                <w:b/>
                <w:sz w:val="21"/>
                <w:szCs w:val="21"/>
              </w:rPr>
              <w:t>/</w:t>
            </w:r>
            <w:r>
              <w:rPr>
                <w:rFonts w:hint="eastAsia" w:ascii="宋体" w:hAnsi="宋体"/>
                <w:b/>
                <w:sz w:val="21"/>
                <w:szCs w:val="21"/>
              </w:rPr>
              <w:t>□职业健康安全方针（组织方针的适宜性</w:t>
            </w:r>
            <w:r>
              <w:rPr>
                <w:rFonts w:ascii="宋体" w:hAnsi="宋体"/>
                <w:b/>
                <w:sz w:val="21"/>
                <w:szCs w:val="21"/>
              </w:rPr>
              <w:t>/</w:t>
            </w:r>
            <w:r>
              <w:rPr>
                <w:rFonts w:hint="eastAsia" w:ascii="宋体" w:hAnsi="宋体"/>
                <w:b/>
                <w:sz w:val="21"/>
                <w:szCs w:val="21"/>
              </w:rPr>
              <w:t>持续适宜性、方针的传达及职工的理解等）</w:t>
            </w:r>
          </w:p>
          <w:p>
            <w:pPr>
              <w:spacing w:line="240" w:lineRule="exact"/>
              <w:ind w:firstLine="400" w:firstLineChars="200"/>
              <w:rPr>
                <w:rFonts w:hint="eastAsia"/>
                <w:sz w:val="20"/>
                <w:szCs w:val="22"/>
                <w:highlight w:val="none"/>
              </w:rPr>
            </w:pPr>
            <w:r>
              <w:rPr>
                <w:rFonts w:hint="eastAsia"/>
                <w:sz w:val="20"/>
                <w:szCs w:val="22"/>
                <w:highlight w:val="none"/>
              </w:rPr>
              <w:t>最高管理者组织制定了方针：现行的管理方针在管理手册有专门的释议，具备适宜性。通过会议、张贴等方式进行传达宣贯，管理绩效表明其方针能够通过管理体系加以有效实施、实现及动态管理，实际未发生变更。</w:t>
            </w:r>
          </w:p>
          <w:p>
            <w:pPr>
              <w:spacing w:line="240" w:lineRule="exact"/>
              <w:ind w:firstLine="400" w:firstLineChars="200"/>
              <w:rPr>
                <w:rFonts w:hint="eastAsia"/>
                <w:sz w:val="20"/>
                <w:szCs w:val="22"/>
                <w:highlight w:val="none"/>
              </w:rPr>
            </w:pPr>
            <w:r>
              <w:rPr>
                <w:rFonts w:hint="eastAsia"/>
                <w:sz w:val="20"/>
                <w:szCs w:val="22"/>
                <w:highlight w:val="none"/>
              </w:rPr>
              <w:t>质量方针：以高质量生产、优质服务，不断追求质量的持续改进，向顾客与社会提供高质量产品。</w:t>
            </w:r>
          </w:p>
          <w:p>
            <w:pPr>
              <w:spacing w:line="240" w:lineRule="exact"/>
              <w:ind w:firstLine="400" w:firstLineChars="200"/>
              <w:rPr>
                <w:rFonts w:ascii="宋体" w:hAnsi="宋体"/>
                <w:b/>
                <w:sz w:val="21"/>
                <w:szCs w:val="21"/>
              </w:rPr>
            </w:pPr>
            <w:r>
              <w:rPr>
                <w:rFonts w:hint="eastAsia"/>
                <w:sz w:val="20"/>
                <w:szCs w:val="22"/>
                <w:highlight w:val="none"/>
              </w:rPr>
              <w:t>环境方针：污染预防，全员环保，自觉遵守国家和地方有关环境保护方面的法律法规，并保障所需资源的投入。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7" w:hRule="atLeast"/>
          <w:jc w:val="center"/>
        </w:trPr>
        <w:tc>
          <w:tcPr>
            <w:tcW w:w="920" w:type="dxa"/>
            <w:vMerge w:val="continue"/>
            <w:textDirection w:val="tbRlV"/>
            <w:vAlign w:val="center"/>
          </w:tcPr>
          <w:p>
            <w:pPr>
              <w:spacing w:line="240" w:lineRule="exact"/>
              <w:ind w:left="241" w:right="113" w:hanging="241" w:hangingChars="100"/>
              <w:jc w:val="center"/>
              <w:rPr>
                <w:rFonts w:ascii="宋体"/>
                <w:b/>
                <w:szCs w:val="21"/>
              </w:rPr>
            </w:pPr>
          </w:p>
        </w:tc>
        <w:tc>
          <w:tcPr>
            <w:tcW w:w="8998" w:type="dxa"/>
          </w:tcPr>
          <w:p>
            <w:pPr>
              <w:numPr>
                <w:ilvl w:val="0"/>
                <w:numId w:val="1"/>
              </w:numPr>
              <w:spacing w:line="280" w:lineRule="exact"/>
              <w:rPr>
                <w:rFonts w:hint="eastAsia" w:ascii="宋体" w:hAnsi="宋体"/>
                <w:b/>
                <w:sz w:val="21"/>
                <w:szCs w:val="21"/>
              </w:rPr>
            </w:pPr>
            <w:r>
              <w:rPr>
                <w:rFonts w:hint="eastAsia" w:ascii="宋体" w:hAnsi="宋体"/>
                <w:b/>
                <w:sz w:val="21"/>
                <w:szCs w:val="21"/>
              </w:rPr>
              <w:t>风险识别与控制策划</w:t>
            </w:r>
          </w:p>
          <w:p>
            <w:pPr>
              <w:numPr>
                <w:ilvl w:val="0"/>
                <w:numId w:val="0"/>
              </w:numPr>
              <w:spacing w:line="280" w:lineRule="exact"/>
              <w:ind w:firstLine="400" w:firstLineChars="200"/>
              <w:rPr>
                <w:rFonts w:hint="eastAsia" w:ascii="宋体" w:hAnsi="宋体"/>
                <w:b/>
                <w:sz w:val="21"/>
                <w:szCs w:val="21"/>
              </w:rPr>
            </w:pPr>
            <w:r>
              <w:rPr>
                <w:rFonts w:hint="eastAsia"/>
                <w:sz w:val="20"/>
                <w:szCs w:val="22"/>
                <w:highlight w:val="none"/>
              </w:rPr>
              <w:t>制定并实施了相关程序和安全生产管理制度，服务过程包括策划、准备、实施、支持服务等。这些过程的主要活动、顺序或相互关系、相关管理作业指导书的规定基本适宜、充分、有效、详细，相关过程的策划良好，实施有序，控制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46" w:hRule="atLeast"/>
          <w:jc w:val="center"/>
        </w:trPr>
        <w:tc>
          <w:tcPr>
            <w:tcW w:w="920" w:type="dxa"/>
            <w:vMerge w:val="continue"/>
            <w:vAlign w:val="center"/>
          </w:tcPr>
          <w:p>
            <w:pPr>
              <w:spacing w:line="240" w:lineRule="exact"/>
              <w:jc w:val="center"/>
              <w:rPr>
                <w:b/>
                <w:sz w:val="20"/>
              </w:rPr>
            </w:pPr>
          </w:p>
        </w:tc>
        <w:tc>
          <w:tcPr>
            <w:tcW w:w="8998" w:type="dxa"/>
          </w:tcPr>
          <w:p>
            <w:pPr>
              <w:spacing w:line="300" w:lineRule="exact"/>
              <w:rPr>
                <w:rFonts w:ascii="宋体" w:hAnsi="宋体"/>
                <w:b/>
                <w:sz w:val="21"/>
                <w:szCs w:val="21"/>
                <w:highlight w:val="none"/>
              </w:rPr>
            </w:pPr>
            <w:r>
              <w:rPr>
                <w:rFonts w:ascii="宋体" w:hAnsi="宋体"/>
                <w:b/>
                <w:sz w:val="21"/>
                <w:szCs w:val="21"/>
              </w:rPr>
              <w:t>5.QMS</w:t>
            </w:r>
            <w:r>
              <w:rPr>
                <w:rFonts w:hint="eastAsia" w:ascii="宋体" w:hAnsi="宋体"/>
                <w:b/>
                <w:sz w:val="21"/>
                <w:szCs w:val="21"/>
              </w:rPr>
              <w:t>/</w:t>
            </w:r>
            <w:r>
              <w:rPr>
                <w:rFonts w:hint="eastAsia" w:ascii="宋体" w:hAnsi="宋体"/>
                <w:b/>
                <w:szCs w:val="21"/>
              </w:rPr>
              <w:t>□50430</w:t>
            </w:r>
            <w:r>
              <w:rPr>
                <w:rFonts w:hint="eastAsia" w:ascii="宋体" w:hAnsi="宋体"/>
                <w:b/>
                <w:sz w:val="21"/>
                <w:szCs w:val="21"/>
                <w:highlight w:val="none"/>
              </w:rPr>
              <w:t>过程</w:t>
            </w:r>
          </w:p>
          <w:p>
            <w:pPr>
              <w:tabs>
                <w:tab w:val="left" w:pos="540"/>
              </w:tabs>
              <w:spacing w:line="300" w:lineRule="exact"/>
              <w:ind w:left="211" w:hanging="211" w:hangingChars="100"/>
              <w:rPr>
                <w:rFonts w:ascii="宋体" w:hAnsi="宋体"/>
                <w:b/>
                <w:sz w:val="21"/>
                <w:szCs w:val="21"/>
                <w:highlight w:val="none"/>
              </w:rPr>
            </w:pPr>
            <w:r>
              <w:rPr>
                <w:rFonts w:hint="eastAsia" w:ascii="宋体" w:hAnsi="宋体"/>
                <w:b/>
                <w:sz w:val="21"/>
                <w:szCs w:val="21"/>
                <w:highlight w:val="none"/>
              </w:rPr>
              <w:t>质量管理体系过程有：</w:t>
            </w:r>
            <w:r>
              <w:rPr>
                <w:rFonts w:hint="eastAsia"/>
                <w:sz w:val="20"/>
                <w:szCs w:val="22"/>
                <w:highlight w:val="none"/>
              </w:rPr>
              <w:t>涂料、胶粘剂、墙体保温材料（聚合聚苯板、水泥基发泡保温材料）的生产（需资质许可除外）</w:t>
            </w:r>
          </w:p>
          <w:p>
            <w:pPr>
              <w:tabs>
                <w:tab w:val="left" w:pos="540"/>
              </w:tabs>
              <w:spacing w:line="300" w:lineRule="exact"/>
              <w:ind w:left="211" w:hanging="211" w:hangingChars="100"/>
              <w:rPr>
                <w:rFonts w:hint="default"/>
                <w:sz w:val="20"/>
                <w:szCs w:val="22"/>
                <w:highlight w:val="none"/>
                <w:lang w:val="en-US" w:eastAsia="zh-CN"/>
              </w:rPr>
            </w:pPr>
            <w:r>
              <w:rPr>
                <w:rFonts w:hint="eastAsia" w:ascii="宋体" w:hAnsi="宋体"/>
                <w:b/>
                <w:sz w:val="21"/>
                <w:szCs w:val="21"/>
                <w:highlight w:val="none"/>
              </w:rPr>
              <w:t>其中关键过程有</w:t>
            </w:r>
            <w:r>
              <w:rPr>
                <w:rFonts w:hint="eastAsia" w:ascii="宋体" w:hAnsi="宋体"/>
                <w:b/>
                <w:sz w:val="21"/>
                <w:szCs w:val="21"/>
                <w:highlight w:val="none"/>
                <w:lang w:eastAsia="zh-CN"/>
              </w:rPr>
              <w:t>：</w:t>
            </w:r>
            <w:r>
              <w:rPr>
                <w:rFonts w:hint="eastAsia"/>
                <w:sz w:val="20"/>
                <w:szCs w:val="22"/>
                <w:highlight w:val="none"/>
              </w:rPr>
              <w:t>原料配比、混合搅拌</w:t>
            </w:r>
          </w:p>
          <w:p>
            <w:pPr>
              <w:tabs>
                <w:tab w:val="left" w:pos="540"/>
              </w:tabs>
              <w:spacing w:line="300" w:lineRule="exact"/>
              <w:ind w:left="211" w:hanging="211" w:hangingChars="100"/>
              <w:rPr>
                <w:rFonts w:hint="eastAsia"/>
                <w:sz w:val="20"/>
                <w:szCs w:val="22"/>
                <w:highlight w:val="none"/>
                <w:lang w:eastAsia="zh-CN"/>
              </w:rPr>
            </w:pPr>
            <w:r>
              <w:rPr>
                <w:rFonts w:hint="eastAsia" w:ascii="宋体" w:hAnsi="宋体"/>
                <w:b/>
                <w:sz w:val="21"/>
                <w:szCs w:val="21"/>
                <w:highlight w:val="none"/>
              </w:rPr>
              <w:t>需要确认过程</w:t>
            </w:r>
            <w:r>
              <w:rPr>
                <w:rFonts w:hint="eastAsia" w:ascii="宋体" w:hAnsi="宋体"/>
                <w:b/>
                <w:sz w:val="21"/>
                <w:szCs w:val="21"/>
                <w:highlight w:val="none"/>
                <w:lang w:eastAsia="zh-CN"/>
              </w:rPr>
              <w:t>：</w:t>
            </w:r>
            <w:r>
              <w:rPr>
                <w:rFonts w:hint="eastAsia"/>
                <w:sz w:val="20"/>
                <w:szCs w:val="22"/>
                <w:highlight w:val="none"/>
              </w:rPr>
              <w:t>原料配比、混合搅拌</w:t>
            </w:r>
          </w:p>
          <w:p>
            <w:pPr>
              <w:spacing w:line="360" w:lineRule="auto"/>
              <w:ind w:firstLine="422" w:firstLineChars="200"/>
              <w:rPr>
                <w:rFonts w:ascii="宋体" w:hAnsi="宋体"/>
                <w:b/>
                <w:sz w:val="21"/>
                <w:szCs w:val="21"/>
              </w:rPr>
            </w:pPr>
            <w:r>
              <w:rPr>
                <w:rFonts w:hint="eastAsia" w:ascii="宋体" w:hAnsi="宋体"/>
                <w:b/>
                <w:sz w:val="21"/>
                <w:szCs w:val="21"/>
                <w:highlight w:val="none"/>
              </w:rPr>
              <w:t>删减条款是</w:t>
            </w:r>
            <w:r>
              <w:rPr>
                <w:rFonts w:hint="eastAsia" w:ascii="宋体" w:hAnsi="宋体"/>
                <w:b/>
                <w:sz w:val="21"/>
                <w:szCs w:val="21"/>
                <w:highlight w:val="none"/>
                <w:u w:val="single"/>
                <w:lang w:val="en-US" w:eastAsia="zh-CN"/>
              </w:rPr>
              <w:t xml:space="preserve">  8.3条款 </w:t>
            </w:r>
            <w:r>
              <w:rPr>
                <w:rFonts w:hint="eastAsia" w:ascii="宋体" w:hAnsi="宋体"/>
                <w:b/>
                <w:sz w:val="21"/>
                <w:szCs w:val="21"/>
                <w:highlight w:val="none"/>
              </w:rPr>
              <w:t>，删减理由：</w:t>
            </w:r>
            <w:r>
              <w:rPr>
                <w:rFonts w:hint="eastAsia"/>
                <w:sz w:val="20"/>
                <w:szCs w:val="22"/>
                <w:highlight w:val="none"/>
              </w:rPr>
              <w:t>公司的</w:t>
            </w:r>
            <w:r>
              <w:rPr>
                <w:rFonts w:hint="eastAsia"/>
                <w:sz w:val="20"/>
                <w:szCs w:val="22"/>
                <w:highlight w:val="none"/>
                <w:lang w:val="en-US" w:eastAsia="zh-CN"/>
              </w:rPr>
              <w:t>产品根据国家标准进行生产</w:t>
            </w:r>
            <w:r>
              <w:rPr>
                <w:rFonts w:hint="eastAsia"/>
                <w:sz w:val="20"/>
                <w:szCs w:val="22"/>
                <w:highlight w:val="none"/>
              </w:rPr>
              <w:t>，不涉及设计和开发项目。经对此条要求删减后，不影响公司提供满足顾客和适用的法律法规要求的</w:t>
            </w:r>
            <w:r>
              <w:rPr>
                <w:rFonts w:hint="eastAsia"/>
                <w:sz w:val="20"/>
                <w:szCs w:val="22"/>
                <w:highlight w:val="none"/>
                <w:lang w:eastAsia="zh-CN"/>
              </w:rPr>
              <w:t>生产</w:t>
            </w:r>
            <w:r>
              <w:rPr>
                <w:rFonts w:hint="eastAsia"/>
                <w:sz w:val="20"/>
                <w:szCs w:val="22"/>
                <w:highlight w:val="none"/>
              </w:rPr>
              <w:t>的能力，也不免除公司相应的责任，也仍然保持了质量管理体系的完整性。因此，ISO9001：2015标准中的“8.</w:t>
            </w:r>
            <w:r>
              <w:rPr>
                <w:rFonts w:hint="eastAsia"/>
                <w:sz w:val="20"/>
                <w:szCs w:val="22"/>
                <w:highlight w:val="none"/>
                <w:lang w:val="en-US" w:eastAsia="zh-CN"/>
              </w:rPr>
              <w:t>3</w:t>
            </w:r>
            <w:r>
              <w:rPr>
                <w:rFonts w:hint="eastAsia"/>
                <w:sz w:val="20"/>
                <w:szCs w:val="22"/>
                <w:highlight w:val="none"/>
              </w:rPr>
              <w:t>产品和</w:t>
            </w:r>
            <w:r>
              <w:rPr>
                <w:rFonts w:hint="eastAsia"/>
                <w:sz w:val="20"/>
                <w:szCs w:val="22"/>
                <w:highlight w:val="none"/>
                <w:lang w:eastAsia="zh-CN"/>
              </w:rPr>
              <w:t>生产</w:t>
            </w:r>
            <w:r>
              <w:rPr>
                <w:rFonts w:hint="eastAsia"/>
                <w:sz w:val="20"/>
                <w:szCs w:val="22"/>
                <w:highlight w:val="none"/>
              </w:rPr>
              <w:t>的开发”的要求予以删减。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21" w:hRule="atLeast"/>
          <w:jc w:val="center"/>
        </w:trPr>
        <w:tc>
          <w:tcPr>
            <w:tcW w:w="920" w:type="dxa"/>
            <w:vMerge w:val="continue"/>
            <w:vAlign w:val="center"/>
          </w:tcPr>
          <w:p>
            <w:pPr>
              <w:spacing w:line="240" w:lineRule="exact"/>
              <w:jc w:val="center"/>
              <w:rPr>
                <w:b/>
                <w:sz w:val="20"/>
              </w:rPr>
            </w:pPr>
          </w:p>
        </w:tc>
        <w:tc>
          <w:tcPr>
            <w:tcW w:w="89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sym w:font="Wingdings 2" w:char="0052"/>
            </w:r>
            <w:r>
              <w:rPr>
                <w:rFonts w:ascii="宋体" w:hAnsi="宋体"/>
                <w:b/>
                <w:sz w:val="21"/>
                <w:szCs w:val="21"/>
              </w:rPr>
              <w:t>EMS</w:t>
            </w:r>
            <w:r>
              <w:rPr>
                <w:rFonts w:hint="eastAsia" w:ascii="宋体" w:hAnsi="宋体"/>
                <w:b/>
                <w:sz w:val="21"/>
                <w:szCs w:val="21"/>
              </w:rPr>
              <w:t>环境因素</w:t>
            </w:r>
          </w:p>
          <w:p>
            <w:pPr>
              <w:spacing w:line="300" w:lineRule="exact"/>
              <w:rPr>
                <w:rFonts w:ascii="宋体" w:hAnsi="宋体"/>
                <w:b/>
                <w:sz w:val="21"/>
                <w:szCs w:val="21"/>
              </w:rPr>
            </w:pPr>
            <w:r>
              <w:rPr>
                <w:rFonts w:hint="eastAsia" w:ascii="宋体" w:hAnsi="宋体"/>
                <w:b/>
                <w:sz w:val="21"/>
                <w:szCs w:val="21"/>
              </w:rPr>
              <w:t>（环境因素辨识是否充分、重要环境因素评价合理性，以及环境因素动态变更的及时性等）</w:t>
            </w:r>
          </w:p>
          <w:p>
            <w:pPr>
              <w:spacing w:line="240" w:lineRule="exact"/>
              <w:ind w:firstLine="400" w:firstLineChars="200"/>
              <w:rPr>
                <w:rFonts w:ascii="宋体" w:hAnsi="宋体"/>
                <w:b/>
                <w:sz w:val="21"/>
                <w:szCs w:val="21"/>
              </w:rPr>
            </w:pPr>
            <w:r>
              <w:rPr>
                <w:rFonts w:hint="eastAsia"/>
                <w:sz w:val="20"/>
                <w:szCs w:val="22"/>
                <w:highlight w:val="none"/>
              </w:rPr>
              <w:t>组织建立了环境因素识别、评价控制程序，识别评价了环境因素、风险相关的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应急预案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2" w:hRule="atLeast"/>
          <w:jc w:val="center"/>
        </w:trPr>
        <w:tc>
          <w:tcPr>
            <w:tcW w:w="920" w:type="dxa"/>
            <w:vMerge w:val="continue"/>
            <w:vAlign w:val="center"/>
          </w:tcPr>
          <w:p>
            <w:pPr>
              <w:spacing w:line="240" w:lineRule="exact"/>
              <w:jc w:val="center"/>
              <w:rPr>
                <w:b/>
                <w:sz w:val="20"/>
              </w:rPr>
            </w:pPr>
          </w:p>
        </w:tc>
        <w:tc>
          <w:tcPr>
            <w:tcW w:w="8998" w:type="dxa"/>
          </w:tcPr>
          <w:p>
            <w:pPr>
              <w:spacing w:line="240" w:lineRule="exact"/>
              <w:rPr>
                <w:rFonts w:ascii="宋体" w:hAnsi="宋体"/>
                <w:b/>
                <w:sz w:val="21"/>
                <w:szCs w:val="21"/>
              </w:rPr>
            </w:pPr>
            <w:r>
              <w:rPr>
                <w:rFonts w:ascii="宋体" w:hAnsi="宋体"/>
                <w:b/>
                <w:sz w:val="21"/>
                <w:szCs w:val="21"/>
              </w:rPr>
              <w:t xml:space="preserve">7. </w:t>
            </w:r>
            <w:r>
              <w:rPr>
                <w:rFonts w:hint="eastAsia" w:ascii="宋体" w:hAnsi="宋体"/>
                <w:b/>
                <w:sz w:val="21"/>
                <w:szCs w:val="21"/>
              </w:rPr>
              <w:t>□</w:t>
            </w:r>
            <w:r>
              <w:rPr>
                <w:rFonts w:ascii="宋体" w:hAnsi="宋体"/>
                <w:b/>
                <w:sz w:val="21"/>
                <w:szCs w:val="21"/>
              </w:rPr>
              <w:t>OHSMS</w:t>
            </w:r>
            <w:r>
              <w:rPr>
                <w:rFonts w:hint="eastAsia" w:ascii="宋体" w:hAnsi="宋体"/>
                <w:b/>
                <w:sz w:val="21"/>
                <w:szCs w:val="21"/>
              </w:rPr>
              <w:t>职业健康安全危险源</w:t>
            </w:r>
          </w:p>
          <w:p>
            <w:pPr>
              <w:spacing w:line="240" w:lineRule="exact"/>
              <w:rPr>
                <w:rFonts w:hint="eastAsia" w:ascii="宋体" w:hAnsi="宋体"/>
                <w:b/>
                <w:sz w:val="21"/>
                <w:szCs w:val="21"/>
              </w:rPr>
            </w:pPr>
            <w:r>
              <w:rPr>
                <w:rFonts w:hint="eastAsia" w:ascii="宋体" w:hAnsi="宋体"/>
                <w:b/>
                <w:sz w:val="21"/>
                <w:szCs w:val="21"/>
              </w:rPr>
              <w:t>（职业健康安全危险源辨识是否充分、风险评价合理性，以及风险评价动态变更的及时性等）</w:t>
            </w:r>
          </w:p>
          <w:p>
            <w:pPr>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920" w:type="dxa"/>
            <w:vMerge w:val="continue"/>
            <w:vAlign w:val="center"/>
          </w:tcPr>
          <w:p>
            <w:pPr>
              <w:spacing w:line="240" w:lineRule="exact"/>
              <w:jc w:val="center"/>
              <w:rPr>
                <w:b/>
                <w:sz w:val="20"/>
              </w:rPr>
            </w:pPr>
          </w:p>
        </w:tc>
        <w:tc>
          <w:tcPr>
            <w:tcW w:w="8998" w:type="dxa"/>
          </w:tcPr>
          <w:p>
            <w:pPr>
              <w:spacing w:line="300" w:lineRule="exact"/>
              <w:rPr>
                <w:rFonts w:ascii="宋体" w:hAnsi="宋体"/>
                <w:b/>
                <w:sz w:val="21"/>
                <w:szCs w:val="21"/>
              </w:rPr>
            </w:pPr>
            <w:r>
              <w:rPr>
                <w:rFonts w:ascii="宋体" w:hAnsi="宋体"/>
                <w:b/>
                <w:sz w:val="21"/>
                <w:szCs w:val="21"/>
              </w:rPr>
              <w:t xml:space="preserve">8. </w:t>
            </w:r>
            <w:r>
              <w:rPr>
                <w:rFonts w:hint="eastAsia" w:ascii="宋体" w:hAnsi="宋体"/>
                <w:b/>
                <w:sz w:val="21"/>
                <w:szCs w:val="21"/>
              </w:rPr>
              <w:t>法律法规及其他要求</w:t>
            </w:r>
          </w:p>
          <w:p>
            <w:pPr>
              <w:tabs>
                <w:tab w:val="left" w:pos="540"/>
              </w:tabs>
              <w:spacing w:line="300" w:lineRule="exact"/>
              <w:ind w:left="211" w:hanging="211" w:hangingChars="100"/>
              <w:rPr>
                <w:rFonts w:ascii="宋体" w:hAnsi="宋体"/>
                <w:b/>
                <w:sz w:val="21"/>
                <w:szCs w:val="21"/>
              </w:rPr>
            </w:pPr>
          </w:p>
          <w:p>
            <w:pPr>
              <w:pStyle w:val="13"/>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获取法律法规项，■法律法规获取充分，□法律法规获取有遗漏，缺少</w:t>
            </w:r>
          </w:p>
          <w:p>
            <w:pPr>
              <w:tabs>
                <w:tab w:val="left" w:pos="540"/>
              </w:tabs>
              <w:spacing w:line="300" w:lineRule="exact"/>
              <w:ind w:left="1" w:leftChars="-43" w:hanging="104" w:hangingChars="43"/>
              <w:rPr>
                <w:rFonts w:ascii="宋体" w:hAnsi="宋体"/>
                <w:b/>
                <w:color w:val="000000" w:themeColor="text1"/>
                <w:szCs w:val="21"/>
                <w:u w:val="single"/>
              </w:rPr>
            </w:pPr>
          </w:p>
          <w:p>
            <w:pPr>
              <w:pStyle w:val="13"/>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结合公司的■产品/服务■环境因素，■确定 □未确定法律法规要求的具体条款，</w:t>
            </w:r>
          </w:p>
          <w:p>
            <w:pPr>
              <w:pStyle w:val="13"/>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法律法规的宣传方式：培训、会议、张贴。</w:t>
            </w:r>
          </w:p>
          <w:p>
            <w:pPr>
              <w:pStyle w:val="13"/>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w:t>
            </w:r>
          </w:p>
          <w:p>
            <w:pPr>
              <w:tabs>
                <w:tab w:val="left" w:pos="0"/>
              </w:tabs>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920" w:type="dxa"/>
            <w:vMerge w:val="continue"/>
            <w:vAlign w:val="center"/>
          </w:tcPr>
          <w:p>
            <w:pPr>
              <w:spacing w:line="240" w:lineRule="exact"/>
              <w:jc w:val="center"/>
              <w:rPr>
                <w:b/>
                <w:sz w:val="20"/>
              </w:rPr>
            </w:pPr>
          </w:p>
        </w:tc>
        <w:tc>
          <w:tcPr>
            <w:tcW w:w="8998" w:type="dxa"/>
          </w:tcPr>
          <w:p>
            <w:pPr>
              <w:spacing w:line="300" w:lineRule="exact"/>
              <w:rPr>
                <w:rFonts w:ascii="宋体" w:hAnsi="宋体"/>
                <w:b/>
                <w:sz w:val="21"/>
                <w:szCs w:val="21"/>
              </w:rPr>
            </w:pPr>
            <w:r>
              <w:rPr>
                <w:rFonts w:ascii="宋体" w:hAnsi="宋体"/>
                <w:b/>
                <w:sz w:val="21"/>
                <w:szCs w:val="21"/>
              </w:rPr>
              <w:t xml:space="preserve">5. </w:t>
            </w:r>
            <w:r>
              <w:rPr>
                <w:rFonts w:hint="eastAsia" w:ascii="宋体" w:hAnsi="宋体"/>
                <w:b/>
                <w:sz w:val="21"/>
                <w:szCs w:val="21"/>
              </w:rPr>
              <w:t>目标、方案</w:t>
            </w:r>
          </w:p>
          <w:p>
            <w:pPr>
              <w:spacing w:line="300" w:lineRule="exact"/>
              <w:rPr>
                <w:rFonts w:ascii="宋体" w:hAnsi="宋体"/>
                <w:b/>
                <w:sz w:val="21"/>
                <w:szCs w:val="21"/>
              </w:rPr>
            </w:pPr>
            <w:r>
              <w:rPr>
                <w:rFonts w:hint="eastAsia" w:ascii="宋体" w:hAnsi="宋体"/>
                <w:b/>
                <w:sz w:val="21"/>
                <w:szCs w:val="21"/>
              </w:rPr>
              <w:t>（在相关层次上建立可测量的目标，目标、方案的有效性，对质量目标的实现情况进行评价并叙述测量方法）</w:t>
            </w:r>
          </w:p>
          <w:p>
            <w:pPr>
              <w:spacing w:line="240" w:lineRule="exact"/>
              <w:ind w:firstLine="400" w:firstLineChars="200"/>
              <w:rPr>
                <w:rFonts w:hint="eastAsia"/>
                <w:sz w:val="20"/>
                <w:szCs w:val="22"/>
                <w:highlight w:val="none"/>
              </w:rPr>
            </w:pPr>
            <w:r>
              <w:rPr>
                <w:rFonts w:hint="eastAsia"/>
                <w:sz w:val="20"/>
                <w:szCs w:val="22"/>
                <w:highlight w:val="none"/>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p>
            <w:pPr>
              <w:spacing w:line="240" w:lineRule="exact"/>
              <w:ind w:firstLine="400" w:firstLineChars="200"/>
              <w:rPr>
                <w:rFonts w:hint="eastAsia"/>
                <w:sz w:val="20"/>
                <w:szCs w:val="22"/>
                <w:highlight w:val="none"/>
              </w:rPr>
            </w:pPr>
            <w:r>
              <w:rPr>
                <w:rFonts w:hint="eastAsia"/>
                <w:sz w:val="20"/>
                <w:szCs w:val="22"/>
                <w:highlight w:val="none"/>
              </w:rPr>
              <w:t>公司质量目标：</w:t>
            </w:r>
          </w:p>
          <w:p>
            <w:pPr>
              <w:spacing w:line="240" w:lineRule="exact"/>
              <w:ind w:firstLine="400" w:firstLineChars="200"/>
              <w:rPr>
                <w:rFonts w:hint="eastAsia"/>
                <w:sz w:val="20"/>
                <w:szCs w:val="22"/>
                <w:highlight w:val="none"/>
              </w:rPr>
            </w:pPr>
            <w:r>
              <w:rPr>
                <w:rFonts w:hint="eastAsia"/>
                <w:sz w:val="20"/>
                <w:szCs w:val="22"/>
                <w:highlight w:val="none"/>
              </w:rPr>
              <w:t>1）、一次性生产合格率96%以上</w:t>
            </w:r>
          </w:p>
          <w:p>
            <w:pPr>
              <w:spacing w:line="240" w:lineRule="exact"/>
              <w:ind w:firstLine="400" w:firstLineChars="200"/>
              <w:rPr>
                <w:rFonts w:hint="eastAsia"/>
                <w:sz w:val="20"/>
                <w:szCs w:val="22"/>
                <w:highlight w:val="none"/>
              </w:rPr>
            </w:pPr>
            <w:r>
              <w:rPr>
                <w:rFonts w:hint="eastAsia"/>
                <w:sz w:val="20"/>
                <w:szCs w:val="22"/>
                <w:highlight w:val="none"/>
              </w:rPr>
              <w:t>2）、合同履约率100％；</w:t>
            </w:r>
          </w:p>
          <w:p>
            <w:pPr>
              <w:spacing w:line="240" w:lineRule="exact"/>
              <w:ind w:firstLine="400" w:firstLineChars="200"/>
              <w:rPr>
                <w:rFonts w:hint="eastAsia"/>
                <w:sz w:val="20"/>
                <w:szCs w:val="22"/>
                <w:highlight w:val="none"/>
              </w:rPr>
            </w:pPr>
            <w:r>
              <w:rPr>
                <w:rFonts w:hint="eastAsia"/>
                <w:sz w:val="20"/>
                <w:szCs w:val="22"/>
                <w:highlight w:val="none"/>
              </w:rPr>
              <w:t>3）、顾客满意率达到≥95%。</w:t>
            </w:r>
          </w:p>
          <w:p>
            <w:pPr>
              <w:tabs>
                <w:tab w:val="center" w:pos="4391"/>
              </w:tabs>
              <w:spacing w:line="240" w:lineRule="exact"/>
              <w:ind w:firstLine="400" w:firstLineChars="200"/>
              <w:rPr>
                <w:rFonts w:hint="eastAsia" w:eastAsia="宋体"/>
                <w:sz w:val="20"/>
                <w:szCs w:val="22"/>
                <w:highlight w:val="none"/>
                <w:lang w:eastAsia="zh-CN"/>
              </w:rPr>
            </w:pPr>
            <w:r>
              <w:rPr>
                <w:rFonts w:hint="eastAsia"/>
                <w:sz w:val="20"/>
                <w:szCs w:val="22"/>
                <w:highlight w:val="none"/>
              </w:rPr>
              <w:t>公司环境目标</w:t>
            </w:r>
            <w:r>
              <w:rPr>
                <w:rFonts w:hint="eastAsia"/>
                <w:sz w:val="20"/>
                <w:szCs w:val="22"/>
                <w:highlight w:val="none"/>
                <w:lang w:eastAsia="zh-CN"/>
              </w:rPr>
              <w:tab/>
            </w:r>
          </w:p>
          <w:p>
            <w:pPr>
              <w:spacing w:line="240" w:lineRule="exact"/>
              <w:ind w:firstLine="400" w:firstLineChars="200"/>
              <w:rPr>
                <w:rFonts w:hint="eastAsia"/>
                <w:sz w:val="20"/>
                <w:szCs w:val="22"/>
                <w:highlight w:val="none"/>
              </w:rPr>
            </w:pPr>
            <w:r>
              <w:rPr>
                <w:rFonts w:hint="eastAsia"/>
                <w:sz w:val="20"/>
                <w:szCs w:val="22"/>
                <w:highlight w:val="none"/>
              </w:rPr>
              <w:t>1）、无火灾爆炸事故发生</w:t>
            </w:r>
          </w:p>
          <w:p>
            <w:pPr>
              <w:spacing w:line="240" w:lineRule="exact"/>
              <w:ind w:firstLine="400" w:firstLineChars="200"/>
              <w:rPr>
                <w:rFonts w:hint="eastAsia"/>
                <w:sz w:val="20"/>
                <w:szCs w:val="22"/>
                <w:highlight w:val="none"/>
              </w:rPr>
            </w:pPr>
            <w:r>
              <w:rPr>
                <w:rFonts w:hint="eastAsia"/>
                <w:sz w:val="20"/>
                <w:szCs w:val="22"/>
                <w:highlight w:val="none"/>
              </w:rPr>
              <w:t>2)、固体废弃物分类收集处置</w:t>
            </w:r>
          </w:p>
          <w:p>
            <w:pPr>
              <w:spacing w:line="240" w:lineRule="exact"/>
              <w:ind w:firstLine="400" w:firstLineChars="200"/>
              <w:rPr>
                <w:rFonts w:hint="eastAsia"/>
                <w:sz w:val="20"/>
                <w:szCs w:val="22"/>
                <w:highlight w:val="none"/>
              </w:rPr>
            </w:pPr>
            <w:r>
              <w:rPr>
                <w:rFonts w:hint="eastAsia"/>
                <w:sz w:val="20"/>
                <w:szCs w:val="22"/>
                <w:highlight w:val="none"/>
              </w:rPr>
              <w:t>3）、粉尘排放达标</w:t>
            </w:r>
          </w:p>
          <w:p>
            <w:pPr>
              <w:spacing w:line="240" w:lineRule="exact"/>
              <w:ind w:firstLine="400" w:firstLineChars="200"/>
              <w:rPr>
                <w:rFonts w:ascii="宋体" w:hAnsi="宋体"/>
                <w:b/>
                <w:sz w:val="21"/>
                <w:szCs w:val="21"/>
              </w:rPr>
            </w:pPr>
            <w:r>
              <w:rPr>
                <w:rFonts w:hint="eastAsia"/>
                <w:sz w:val="20"/>
                <w:szCs w:val="22"/>
                <w:highlight w:val="none"/>
              </w:rPr>
              <w:t>4）、噪声排放达标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2" w:hRule="atLeast"/>
          <w:jc w:val="center"/>
        </w:trPr>
        <w:tc>
          <w:tcPr>
            <w:tcW w:w="920" w:type="dxa"/>
            <w:vMerge w:val="continue"/>
            <w:vAlign w:val="center"/>
          </w:tcPr>
          <w:p>
            <w:pPr>
              <w:spacing w:line="240" w:lineRule="exact"/>
              <w:jc w:val="center"/>
              <w:rPr>
                <w:b/>
                <w:sz w:val="20"/>
              </w:rPr>
            </w:pPr>
          </w:p>
        </w:tc>
        <w:tc>
          <w:tcPr>
            <w:tcW w:w="89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文件与记录控制</w:t>
            </w:r>
            <w:r>
              <w:rPr>
                <w:rFonts w:ascii="宋体" w:hAnsi="宋体"/>
                <w:b/>
                <w:sz w:val="21"/>
                <w:szCs w:val="21"/>
              </w:rPr>
              <w:t>(</w:t>
            </w:r>
            <w:r>
              <w:rPr>
                <w:rFonts w:hint="eastAsia" w:ascii="宋体" w:hAnsi="宋体"/>
                <w:b/>
                <w:sz w:val="21"/>
                <w:szCs w:val="21"/>
              </w:rPr>
              <w:t>文审修订后文件与标准的符合程度评价、文件控制管理等</w:t>
            </w:r>
            <w:r>
              <w:rPr>
                <w:rFonts w:ascii="宋体" w:hAnsi="宋体"/>
                <w:b/>
                <w:sz w:val="21"/>
                <w:szCs w:val="21"/>
              </w:rPr>
              <w:t>)</w:t>
            </w:r>
          </w:p>
          <w:p>
            <w:pPr>
              <w:tabs>
                <w:tab w:val="left" w:pos="540"/>
              </w:tabs>
              <w:spacing w:line="240" w:lineRule="exact"/>
              <w:rPr>
                <w:rFonts w:hint="default" w:ascii="宋体" w:hAnsi="宋体" w:eastAsia="宋体"/>
                <w:b/>
                <w:sz w:val="21"/>
                <w:szCs w:val="21"/>
                <w:lang w:val="en-US" w:eastAsia="zh-CN"/>
              </w:rPr>
            </w:pPr>
            <w:r>
              <w:rPr>
                <w:rFonts w:hint="eastAsia" w:ascii="宋体" w:hAnsi="宋体"/>
                <w:b/>
                <w:sz w:val="21"/>
                <w:szCs w:val="21"/>
                <w:lang w:val="en-US" w:eastAsia="zh-CN"/>
              </w:rPr>
              <w:t xml:space="preserve">  </w:t>
            </w:r>
            <w:r>
              <w:rPr>
                <w:rFonts w:hint="eastAsia"/>
                <w:sz w:val="20"/>
                <w:szCs w:val="22"/>
                <w:highlight w:val="none"/>
              </w:rPr>
              <w:t>公司按照申请认证的标准要求，建立并形成了文件化的环境管理体系，体系文件对管理体系各过程进行了识别确定、明确了各要素间的相互关系及其管控要求。公司体系文件于2018 年12月</w:t>
            </w:r>
            <w:r>
              <w:rPr>
                <w:rFonts w:hint="eastAsia"/>
                <w:sz w:val="20"/>
                <w:szCs w:val="22"/>
                <w:highlight w:val="none"/>
                <w:lang w:val="en-US" w:eastAsia="zh-CN"/>
              </w:rPr>
              <w:t>1</w:t>
            </w:r>
            <w:r>
              <w:rPr>
                <w:rFonts w:hint="eastAsia"/>
                <w:sz w:val="20"/>
                <w:szCs w:val="22"/>
                <w:highlight w:val="none"/>
              </w:rPr>
              <w:t>0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0" w:hRule="atLeast"/>
          <w:jc w:val="center"/>
        </w:trPr>
        <w:tc>
          <w:tcPr>
            <w:tcW w:w="920" w:type="dxa"/>
            <w:vMerge w:val="restart"/>
            <w:textDirection w:val="tbRlV"/>
            <w:vAlign w:val="center"/>
          </w:tcPr>
          <w:p>
            <w:pPr>
              <w:spacing w:line="240" w:lineRule="exact"/>
              <w:ind w:left="113" w:right="113"/>
              <w:jc w:val="center"/>
              <w:rPr>
                <w:b/>
                <w:szCs w:val="21"/>
              </w:rPr>
            </w:pPr>
            <w:r>
              <w:rPr>
                <w:b/>
                <w:szCs w:val="21"/>
              </w:rPr>
              <w:br w:type="page"/>
            </w:r>
            <w:r>
              <w:rPr>
                <w:rFonts w:ascii="宋体" w:hAnsi="宋体"/>
                <w:b/>
                <w:szCs w:val="21"/>
              </w:rPr>
              <w:t>(</w:t>
            </w:r>
            <w:r>
              <w:rPr>
                <w:rFonts w:hint="eastAsia" w:ascii="宋体" w:hAnsi="宋体"/>
                <w:b/>
                <w:szCs w:val="21"/>
              </w:rPr>
              <w:t>二</w:t>
            </w:r>
            <w:r>
              <w:rPr>
                <w:rFonts w:ascii="宋体" w:hAnsi="宋体"/>
                <w:b/>
                <w:szCs w:val="21"/>
              </w:rPr>
              <w:t>)</w:t>
            </w:r>
            <w:r>
              <w:rPr>
                <w:rFonts w:hint="eastAsia" w:ascii="宋体" w:hAnsi="宋体"/>
                <w:b/>
                <w:szCs w:val="21"/>
              </w:rPr>
              <w:t>资源评价</w:t>
            </w:r>
          </w:p>
        </w:tc>
        <w:tc>
          <w:tcPr>
            <w:tcW w:w="8998" w:type="dxa"/>
          </w:tcPr>
          <w:p>
            <w:pPr>
              <w:spacing w:line="300" w:lineRule="exact"/>
              <w:rPr>
                <w:rFonts w:ascii="宋体" w:hAnsi="宋体"/>
                <w:b/>
                <w:sz w:val="21"/>
                <w:szCs w:val="21"/>
                <w:highlight w:val="none"/>
              </w:rPr>
            </w:pPr>
            <w:r>
              <w:rPr>
                <w:rFonts w:hint="eastAsia" w:ascii="宋体" w:hAnsi="宋体"/>
                <w:b/>
                <w:sz w:val="21"/>
                <w:szCs w:val="21"/>
                <w:highlight w:val="none"/>
              </w:rPr>
              <w:t>人力资源的简要说明</w:t>
            </w:r>
            <w:r>
              <w:rPr>
                <w:rFonts w:ascii="宋体" w:hAnsi="宋体"/>
                <w:b/>
                <w:sz w:val="21"/>
                <w:szCs w:val="21"/>
                <w:highlight w:val="none"/>
              </w:rPr>
              <w:t>.:</w:t>
            </w:r>
          </w:p>
          <w:p>
            <w:pPr>
              <w:tabs>
                <w:tab w:val="left" w:pos="540"/>
              </w:tabs>
              <w:spacing w:line="240" w:lineRule="exact"/>
              <w:rPr>
                <w:rFonts w:hint="eastAsia"/>
                <w:sz w:val="20"/>
                <w:szCs w:val="22"/>
                <w:highlight w:val="none"/>
              </w:rPr>
            </w:pPr>
            <w:r>
              <w:rPr>
                <w:rFonts w:hint="eastAsia" w:ascii="宋体" w:hAnsi="宋体"/>
                <w:b/>
                <w:sz w:val="21"/>
                <w:szCs w:val="21"/>
                <w:highlight w:val="none"/>
                <w:lang w:val="en-US" w:eastAsia="zh-CN"/>
              </w:rPr>
              <w:t xml:space="preserve"> </w:t>
            </w:r>
            <w:r>
              <w:rPr>
                <w:rFonts w:hint="eastAsia"/>
                <w:sz w:val="20"/>
                <w:szCs w:val="22"/>
                <w:highlight w:val="none"/>
                <w:lang w:val="en-US" w:eastAsia="zh-CN"/>
              </w:rPr>
              <w:t xml:space="preserve"> </w:t>
            </w:r>
            <w:r>
              <w:rPr>
                <w:rFonts w:hint="eastAsia"/>
                <w:sz w:val="20"/>
                <w:szCs w:val="22"/>
                <w:highlight w:val="none"/>
              </w:rPr>
              <w:t>组织按管理体系需求配置了充足的人员、设施、监视和测量设备等资源，并建立维持了电缆桥架及附件的生产及相关服务运行环境，可以维持管理体系的正常运行。</w:t>
            </w:r>
          </w:p>
          <w:p>
            <w:pPr>
              <w:tabs>
                <w:tab w:val="left" w:pos="540"/>
              </w:tabs>
              <w:spacing w:line="240" w:lineRule="exact"/>
              <w:rPr>
                <w:rFonts w:hint="default" w:ascii="宋体" w:hAnsi="宋体" w:eastAsia="宋体"/>
                <w:b/>
                <w:sz w:val="21"/>
                <w:szCs w:val="21"/>
                <w:highlight w:val="none"/>
                <w:lang w:val="en-US" w:eastAsia="zh-CN"/>
              </w:rPr>
            </w:pPr>
            <w:r>
              <w:rPr>
                <w:rFonts w:hint="eastAsia"/>
                <w:sz w:val="20"/>
                <w:szCs w:val="22"/>
                <w:highlight w:val="none"/>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0" w:hRule="atLeast"/>
          <w:jc w:val="center"/>
        </w:trPr>
        <w:tc>
          <w:tcPr>
            <w:tcW w:w="920" w:type="dxa"/>
            <w:vMerge w:val="continue"/>
            <w:textDirection w:val="tbRlV"/>
            <w:vAlign w:val="center"/>
          </w:tcPr>
          <w:p>
            <w:pPr>
              <w:spacing w:line="240" w:lineRule="exact"/>
              <w:ind w:left="113" w:right="113"/>
              <w:jc w:val="center"/>
              <w:rPr>
                <w:b/>
                <w:szCs w:val="21"/>
              </w:rPr>
            </w:pPr>
          </w:p>
        </w:tc>
        <w:tc>
          <w:tcPr>
            <w:tcW w:w="8998" w:type="dxa"/>
            <w:vAlign w:val="top"/>
          </w:tcPr>
          <w:p>
            <w:pPr>
              <w:spacing w:line="240" w:lineRule="exact"/>
              <w:rPr>
                <w:rFonts w:ascii="宋体" w:hAnsi="宋体"/>
                <w:b/>
                <w:color w:val="000000" w:themeColor="text1"/>
                <w:sz w:val="20"/>
                <w:szCs w:val="20"/>
                <w:highlight w:val="none"/>
              </w:rPr>
            </w:pPr>
            <w:r>
              <w:rPr>
                <w:rFonts w:hint="eastAsia" w:ascii="宋体" w:hAnsi="宋体"/>
                <w:b/>
                <w:color w:val="000000" w:themeColor="text1"/>
                <w:sz w:val="20"/>
                <w:szCs w:val="20"/>
                <w:highlight w:val="none"/>
              </w:rPr>
              <w:t>设备设施（包括信息系统）</w:t>
            </w:r>
          </w:p>
          <w:p>
            <w:pPr>
              <w:spacing w:line="240" w:lineRule="exact"/>
              <w:ind w:firstLine="400" w:firstLineChars="200"/>
              <w:rPr>
                <w:rFonts w:ascii="宋体" w:hAnsi="宋体"/>
                <w:b/>
                <w:sz w:val="21"/>
                <w:szCs w:val="21"/>
                <w:highlight w:val="none"/>
              </w:rPr>
            </w:pPr>
            <w:r>
              <w:rPr>
                <w:rFonts w:hint="eastAsia"/>
                <w:sz w:val="20"/>
                <w:szCs w:val="22"/>
                <w:highlight w:val="none"/>
              </w:rPr>
              <w:t>生产面积2500平米、办公面积500平方米左右，主要生产设备包括：乳胶漆高速搅拌机、乳胶漆低速搅拌机、高速搅拌机、真石漆搅拌机、干粉搅拌机、脉冲式除尘器等，可以满足涂料、胶粘剂、墙体保温材料（聚合聚苯板、水泥基发泡保温材料）的生产需要。特种设备：叉车。公司未建立信息管理系统用于生产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920" w:type="dxa"/>
            <w:vMerge w:val="continue"/>
            <w:textDirection w:val="tbRlV"/>
            <w:vAlign w:val="center"/>
          </w:tcPr>
          <w:p>
            <w:pPr>
              <w:spacing w:line="240" w:lineRule="exact"/>
              <w:ind w:left="113" w:right="113"/>
              <w:jc w:val="center"/>
              <w:rPr>
                <w:b/>
                <w:szCs w:val="21"/>
              </w:rPr>
            </w:pPr>
          </w:p>
        </w:tc>
        <w:tc>
          <w:tcPr>
            <w:tcW w:w="8998" w:type="dxa"/>
            <w:vAlign w:val="top"/>
          </w:tcPr>
          <w:p>
            <w:pPr>
              <w:spacing w:line="240" w:lineRule="exact"/>
              <w:rPr>
                <w:rFonts w:ascii="宋体" w:hAnsi="宋体"/>
                <w:b/>
                <w:color w:val="000000" w:themeColor="text1"/>
                <w:sz w:val="20"/>
                <w:szCs w:val="20"/>
                <w:highlight w:val="none"/>
              </w:rPr>
            </w:pPr>
            <w:r>
              <w:rPr>
                <w:rFonts w:hint="eastAsia" w:ascii="宋体" w:hAnsi="宋体"/>
                <w:b/>
                <w:color w:val="000000" w:themeColor="text1"/>
                <w:sz w:val="20"/>
                <w:szCs w:val="20"/>
                <w:highlight w:val="none"/>
              </w:rPr>
              <w:t>过程运行环境</w:t>
            </w:r>
          </w:p>
          <w:p>
            <w:pPr>
              <w:spacing w:line="240" w:lineRule="exact"/>
              <w:ind w:firstLine="400" w:firstLineChars="200"/>
              <w:rPr>
                <w:rFonts w:ascii="宋体" w:hAnsi="宋体"/>
                <w:b/>
                <w:sz w:val="21"/>
                <w:szCs w:val="21"/>
                <w:highlight w:val="none"/>
              </w:rPr>
            </w:pPr>
            <w:r>
              <w:rPr>
                <w:rFonts w:hint="eastAsia"/>
                <w:sz w:val="20"/>
                <w:szCs w:val="22"/>
                <w:highlight w:val="none"/>
              </w:rPr>
              <w:t>办公和作业所场设备布置合理，通道畅通，照明设施齐全，均配备了消防设施等设施。办公室明亮，作业场所光线较充足。每月由</w:t>
            </w:r>
            <w:r>
              <w:rPr>
                <w:rFonts w:hint="eastAsia"/>
                <w:sz w:val="20"/>
                <w:szCs w:val="22"/>
                <w:highlight w:val="none"/>
                <w:lang w:eastAsia="zh-CN"/>
              </w:rPr>
              <w:t>办公室</w:t>
            </w:r>
            <w:r>
              <w:rPr>
                <w:rFonts w:hint="eastAsia"/>
                <w:sz w:val="20"/>
                <w:szCs w:val="22"/>
                <w:highlight w:val="none"/>
              </w:rPr>
              <w:t>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2" w:hRule="atLeast"/>
          <w:jc w:val="center"/>
        </w:trPr>
        <w:tc>
          <w:tcPr>
            <w:tcW w:w="920" w:type="dxa"/>
            <w:vMerge w:val="continue"/>
            <w:textDirection w:val="tbRlV"/>
            <w:vAlign w:val="center"/>
          </w:tcPr>
          <w:p>
            <w:pPr>
              <w:spacing w:line="240" w:lineRule="exact"/>
              <w:ind w:left="113" w:right="113"/>
              <w:jc w:val="center"/>
              <w:rPr>
                <w:b/>
                <w:szCs w:val="21"/>
              </w:rPr>
            </w:pPr>
          </w:p>
        </w:tc>
        <w:tc>
          <w:tcPr>
            <w:tcW w:w="8998" w:type="dxa"/>
            <w:vAlign w:val="top"/>
          </w:tcPr>
          <w:p>
            <w:pPr>
              <w:spacing w:line="240" w:lineRule="exact"/>
              <w:rPr>
                <w:rFonts w:ascii="宋体" w:hAnsi="宋体"/>
                <w:b/>
                <w:color w:val="000000" w:themeColor="text1"/>
                <w:sz w:val="20"/>
                <w:szCs w:val="20"/>
                <w:highlight w:val="none"/>
              </w:rPr>
            </w:pPr>
            <w:r>
              <w:rPr>
                <w:rFonts w:hint="eastAsia" w:ascii="宋体" w:hAnsi="宋体"/>
                <w:b/>
                <w:color w:val="000000" w:themeColor="text1"/>
                <w:sz w:val="20"/>
                <w:szCs w:val="20"/>
                <w:highlight w:val="none"/>
              </w:rPr>
              <w:t>监视和测量资源</w:t>
            </w:r>
          </w:p>
          <w:p>
            <w:pPr>
              <w:spacing w:line="240" w:lineRule="exact"/>
              <w:ind w:firstLine="400" w:firstLineChars="200"/>
              <w:rPr>
                <w:rFonts w:ascii="宋体" w:hAnsi="宋体"/>
                <w:b/>
                <w:sz w:val="21"/>
                <w:szCs w:val="21"/>
                <w:highlight w:val="none"/>
              </w:rPr>
            </w:pPr>
            <w:r>
              <w:rPr>
                <w:rFonts w:hint="eastAsia"/>
                <w:sz w:val="20"/>
                <w:szCs w:val="22"/>
                <w:highlight w:val="none"/>
              </w:rPr>
              <w:t>检验部门均按策划的要求配置了相应的检测设备，均采用委外送检的方式。抽在用检具的检定或校准证书能提供在用检具的有效检定或校准证据。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920" w:type="dxa"/>
            <w:vMerge w:val="continue"/>
            <w:textDirection w:val="tbRlV"/>
            <w:vAlign w:val="center"/>
          </w:tcPr>
          <w:p>
            <w:pPr>
              <w:spacing w:line="240" w:lineRule="exact"/>
              <w:ind w:left="113" w:right="113"/>
              <w:jc w:val="center"/>
              <w:rPr>
                <w:b/>
                <w:szCs w:val="21"/>
              </w:rPr>
            </w:pPr>
          </w:p>
        </w:tc>
        <w:tc>
          <w:tcPr>
            <w:tcW w:w="89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tabs>
                <w:tab w:val="left" w:pos="540"/>
              </w:tabs>
              <w:spacing w:line="240" w:lineRule="exact"/>
              <w:ind w:firstLine="400" w:firstLineChars="200"/>
              <w:rPr>
                <w:rFonts w:hint="eastAsia"/>
                <w:sz w:val="20"/>
                <w:szCs w:val="22"/>
                <w:highlight w:val="none"/>
              </w:rPr>
            </w:pPr>
            <w:r>
              <w:rPr>
                <w:rFonts w:hint="eastAsia"/>
                <w:sz w:val="20"/>
                <w:szCs w:val="22"/>
                <w:highlight w:val="none"/>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tabs>
                <w:tab w:val="left" w:pos="540"/>
              </w:tabs>
              <w:spacing w:line="240" w:lineRule="exact"/>
              <w:ind w:firstLine="400" w:firstLineChars="200"/>
              <w:rPr>
                <w:rFonts w:ascii="宋体" w:hAnsi="宋体"/>
                <w:b/>
                <w:sz w:val="21"/>
                <w:szCs w:val="21"/>
              </w:rPr>
            </w:pPr>
            <w:r>
              <w:rPr>
                <w:rFonts w:hint="eastAsia"/>
                <w:sz w:val="20"/>
                <w:szCs w:val="22"/>
                <w:highlight w:val="none"/>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atLeast"/>
          <w:jc w:val="center"/>
        </w:trPr>
        <w:tc>
          <w:tcPr>
            <w:tcW w:w="920" w:type="dxa"/>
            <w:vMerge w:val="continue"/>
            <w:textDirection w:val="tbRlV"/>
            <w:vAlign w:val="center"/>
          </w:tcPr>
          <w:p>
            <w:pPr>
              <w:spacing w:line="240" w:lineRule="exact"/>
              <w:ind w:left="113" w:right="113"/>
              <w:jc w:val="center"/>
              <w:rPr>
                <w:b/>
                <w:szCs w:val="21"/>
              </w:rPr>
            </w:pPr>
          </w:p>
        </w:tc>
        <w:tc>
          <w:tcPr>
            <w:tcW w:w="8998" w:type="dxa"/>
            <w:vAlign w:val="top"/>
          </w:tcPr>
          <w:p>
            <w:pPr>
              <w:spacing w:line="240" w:lineRule="exact"/>
              <w:rPr>
                <w:rFonts w:hint="eastAsia" w:ascii="宋体" w:hAnsi="宋体"/>
                <w:b/>
                <w:color w:val="000000" w:themeColor="text1"/>
                <w:sz w:val="20"/>
                <w:szCs w:val="20"/>
              </w:rPr>
            </w:pPr>
            <w:r>
              <w:rPr>
                <w:rFonts w:hint="eastAsia" w:ascii="宋体" w:hAnsi="宋体"/>
                <w:b/>
                <w:color w:val="000000" w:themeColor="text1"/>
                <w:sz w:val="20"/>
                <w:szCs w:val="20"/>
              </w:rPr>
              <w:t>环保设施：</w:t>
            </w:r>
          </w:p>
          <w:p>
            <w:pPr>
              <w:spacing w:line="240" w:lineRule="exact"/>
              <w:rPr>
                <w:rFonts w:hint="eastAsia" w:ascii="宋体" w:hAnsi="宋体"/>
                <w:b/>
                <w:color w:val="000000" w:themeColor="text1"/>
                <w:sz w:val="20"/>
                <w:szCs w:val="20"/>
              </w:rPr>
            </w:pPr>
          </w:p>
          <w:p>
            <w:pPr>
              <w:spacing w:line="240" w:lineRule="exact"/>
              <w:rPr>
                <w:rFonts w:ascii="宋体" w:hAnsi="宋体"/>
                <w:b/>
                <w:sz w:val="21"/>
                <w:szCs w:val="21"/>
              </w:rPr>
            </w:pPr>
            <w:r>
              <w:rPr>
                <w:rFonts w:hint="eastAsia" w:ascii="宋体" w:hAnsi="宋体"/>
                <w:sz w:val="20"/>
                <w:szCs w:val="20"/>
                <w:lang w:val="en-US" w:eastAsia="zh-CN"/>
              </w:rPr>
              <w:t>布袋除尘器、活性炭吸附装置、</w:t>
            </w:r>
            <w:r>
              <w:rPr>
                <w:rFonts w:hint="eastAsia" w:ascii="宋体" w:hAnsi="宋体"/>
                <w:sz w:val="20"/>
                <w:szCs w:val="20"/>
              </w:rPr>
              <w:t>消防栓、灭火器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8" w:hRule="atLeast"/>
          <w:jc w:val="center"/>
        </w:trPr>
        <w:tc>
          <w:tcPr>
            <w:tcW w:w="920" w:type="dxa"/>
            <w:vMerge w:val="continue"/>
            <w:textDirection w:val="tbRlV"/>
            <w:vAlign w:val="center"/>
          </w:tcPr>
          <w:p>
            <w:pPr>
              <w:spacing w:line="240" w:lineRule="exact"/>
              <w:ind w:left="113" w:right="113"/>
              <w:jc w:val="center"/>
              <w:rPr>
                <w:b/>
                <w:szCs w:val="21"/>
              </w:rPr>
            </w:pPr>
          </w:p>
        </w:tc>
        <w:tc>
          <w:tcPr>
            <w:tcW w:w="8998" w:type="dxa"/>
            <w:vAlign w:val="top"/>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spacing w:line="300" w:lineRule="exact"/>
              <w:ind w:left="1" w:leftChars="0" w:firstLine="400" w:firstLineChars="200"/>
              <w:rPr>
                <w:rFonts w:ascii="宋体" w:hAnsi="宋体"/>
                <w:b/>
                <w:sz w:val="21"/>
                <w:szCs w:val="21"/>
              </w:rPr>
            </w:pPr>
            <w:r>
              <w:rPr>
                <w:rFonts w:hint="eastAsia"/>
                <w:sz w:val="20"/>
                <w:szCs w:val="22"/>
                <w:highlight w:val="none"/>
              </w:rPr>
              <w:t>最高管理者组织制定了方针：现行的方针在手册有专门的释议，具备适宜性。通过会议、张贴等方式进行传达宣贯，管理绩效表明其方针能够通过管理体系加以有效实施、实现及动态管理，实际未发生变更。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1" w:hRule="atLeast"/>
          <w:jc w:val="center"/>
        </w:trPr>
        <w:tc>
          <w:tcPr>
            <w:tcW w:w="920" w:type="dxa"/>
            <w:vMerge w:val="restart"/>
            <w:textDirection w:val="tbRlV"/>
            <w:vAlign w:val="center"/>
          </w:tcPr>
          <w:p>
            <w:pPr>
              <w:spacing w:line="240" w:lineRule="exact"/>
              <w:ind w:left="113" w:right="113"/>
              <w:jc w:val="center"/>
              <w:rPr>
                <w:b/>
                <w:szCs w:val="21"/>
              </w:rPr>
            </w:pPr>
            <w:r>
              <w:rPr>
                <w:rFonts w:ascii="宋体" w:hAnsi="宋体"/>
                <w:b/>
                <w:szCs w:val="21"/>
              </w:rPr>
              <w:t>(</w:t>
            </w:r>
            <w:r>
              <w:rPr>
                <w:rFonts w:hint="eastAsia" w:ascii="宋体" w:hAnsi="宋体"/>
                <w:b/>
                <w:szCs w:val="21"/>
              </w:rPr>
              <w:t>三</w:t>
            </w:r>
            <w:r>
              <w:rPr>
                <w:rFonts w:ascii="宋体" w:hAnsi="宋体"/>
                <w:b/>
                <w:szCs w:val="21"/>
              </w:rPr>
              <w:t>)</w:t>
            </w:r>
            <w:r>
              <w:rPr>
                <w:rFonts w:hint="eastAsia" w:ascii="宋体" w:hAnsi="宋体"/>
                <w:b/>
                <w:szCs w:val="21"/>
              </w:rPr>
              <w:t>体系运行情况</w:t>
            </w:r>
          </w:p>
        </w:tc>
        <w:tc>
          <w:tcPr>
            <w:tcW w:w="8998" w:type="dxa"/>
            <w:vAlign w:val="top"/>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ascii="宋体" w:hAnsi="宋体" w:cs="宋体"/>
                <w:color w:val="000000"/>
                <w:szCs w:val="21"/>
              </w:rPr>
              <w:t>在公司内部主要采用电话、会议、面谈等形式就与产品质量、服务有关问题及与质量管理体系有关问题进行沟通，未发生由于沟通不到位而影响工作的情况。</w:t>
            </w: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 xml:space="preserve">                内部沟通的效果：良好</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组织对外联络，关注顾客的感受情况（QMS）：采取顾客满意度调查方式了解顾客感受。</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外部信息的接收、成文并答复的情况（E、S填写）：对会议通知和规定等登记处理</w:t>
            </w:r>
          </w:p>
          <w:p>
            <w:pPr>
              <w:spacing w:line="240" w:lineRule="exact"/>
              <w:rPr>
                <w:rFonts w:ascii="楷体_GB2312" w:eastAsia="楷体_GB2312"/>
                <w:b/>
                <w:color w:val="000000" w:themeColor="text1"/>
                <w:sz w:val="20"/>
                <w:szCs w:val="20"/>
              </w:rPr>
            </w:pPr>
          </w:p>
          <w:p>
            <w:pPr>
              <w:spacing w:line="240" w:lineRule="exact"/>
              <w:rPr>
                <w:szCs w:val="21"/>
              </w:rPr>
            </w:pPr>
            <w:r>
              <w:rPr>
                <w:rFonts w:hint="eastAsia" w:ascii="楷体_GB2312" w:eastAsia="楷体_GB2312"/>
                <w:b/>
                <w:color w:val="000000" w:themeColor="text1"/>
                <w:sz w:val="20"/>
                <w:szCs w:val="20"/>
              </w:rPr>
              <w:t>重要环境因素信息对外交流情况（EMS填写）：</w:t>
            </w:r>
            <w:r>
              <w:rPr>
                <w:rFonts w:hint="eastAsia"/>
                <w:szCs w:val="21"/>
              </w:rPr>
              <w:t>主要通过网络、交流及公开信、合同等方式进行，并达成一致性意见实施有效控制</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OHSMS事务代表协商和交流的情况（OHSMS填写）：</w:t>
            </w:r>
          </w:p>
          <w:p>
            <w:pPr>
              <w:spacing w:line="240" w:lineRule="exact"/>
              <w:rPr>
                <w:rFonts w:ascii="楷体_GB2312" w:eastAsia="楷体_GB2312"/>
                <w:b/>
                <w:color w:val="000000" w:themeColor="text1"/>
                <w:szCs w:val="21"/>
              </w:rPr>
            </w:pPr>
          </w:p>
          <w:p>
            <w:pPr>
              <w:spacing w:line="240" w:lineRule="exact"/>
              <w:rPr>
                <w:rFonts w:ascii="宋体" w:hAnsi="宋体"/>
                <w:b/>
                <w:sz w:val="21"/>
                <w:szCs w:val="21"/>
              </w:rPr>
            </w:pPr>
            <w:r>
              <w:rPr>
                <w:rFonts w:hint="eastAsia" w:ascii="楷体_GB2312" w:eastAsia="楷体_GB2312"/>
                <w:b/>
                <w:color w:val="000000" w:themeColor="text1"/>
                <w:szCs w:val="21"/>
              </w:rPr>
              <w:t>与相关方协商的情况（OHSMS填写）：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8" w:hRule="atLeast"/>
          <w:jc w:val="center"/>
        </w:trPr>
        <w:tc>
          <w:tcPr>
            <w:tcW w:w="920" w:type="dxa"/>
            <w:vMerge w:val="continue"/>
            <w:vAlign w:val="center"/>
          </w:tcPr>
          <w:p>
            <w:pPr>
              <w:spacing w:line="240" w:lineRule="exact"/>
              <w:jc w:val="center"/>
              <w:rPr>
                <w:b/>
                <w:szCs w:val="21"/>
              </w:rPr>
            </w:pPr>
          </w:p>
        </w:tc>
        <w:tc>
          <w:tcPr>
            <w:tcW w:w="8998" w:type="dxa"/>
            <w:vAlign w:val="top"/>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201"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exact"/>
              <w:ind w:firstLine="200" w:firstLineChars="100"/>
              <w:rPr>
                <w:rFonts w:ascii="宋体" w:hAnsi="宋体"/>
                <w:b/>
                <w:sz w:val="21"/>
                <w:szCs w:val="21"/>
              </w:rPr>
            </w:pPr>
            <w:r>
              <w:rPr>
                <w:rFonts w:hint="eastAsia"/>
                <w:sz w:val="20"/>
                <w:szCs w:val="22"/>
                <w:highlight w:val="none"/>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w:t>
            </w:r>
            <w:r>
              <w:rPr>
                <w:b/>
                <w:color w:val="000000" w:themeColor="text1"/>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920" w:type="dxa"/>
            <w:vMerge w:val="continue"/>
            <w:vAlign w:val="center"/>
          </w:tcPr>
          <w:p>
            <w:pPr>
              <w:spacing w:line="240" w:lineRule="exact"/>
              <w:jc w:val="center"/>
              <w:rPr>
                <w:b/>
                <w:szCs w:val="21"/>
              </w:rPr>
            </w:pPr>
          </w:p>
        </w:tc>
        <w:tc>
          <w:tcPr>
            <w:tcW w:w="8998" w:type="dxa"/>
            <w:vAlign w:val="top"/>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240" w:lineRule="exact"/>
              <w:ind w:firstLine="200" w:firstLineChars="100"/>
              <w:rPr>
                <w:rFonts w:hint="eastAsia"/>
                <w:sz w:val="20"/>
                <w:szCs w:val="22"/>
                <w:highlight w:val="none"/>
              </w:rPr>
            </w:pPr>
            <w:r>
              <w:rPr>
                <w:rFonts w:hint="eastAsia"/>
                <w:sz w:val="20"/>
                <w:szCs w:val="22"/>
                <w:highlight w:val="none"/>
              </w:rPr>
              <w:t>制定并实施了产品检验控制规定，规定了公司各管理层次和品质检测部门在各阶段对产品服务质量实施检查与验收的管理要求。内容基本具备全面性、系统性及可操作性。质量检查与验收均在出厂前予以实现，范围包括：过程、最终产品。以此保证持续向顾客稳定提供稳定合格的产品。</w:t>
            </w:r>
          </w:p>
          <w:p>
            <w:pPr>
              <w:spacing w:line="240" w:lineRule="exact"/>
              <w:rPr>
                <w:rFonts w:ascii="宋体" w:hAnsi="宋体"/>
                <w:b/>
                <w:sz w:val="21"/>
                <w:szCs w:val="21"/>
              </w:rPr>
            </w:pPr>
            <w:r>
              <w:rPr>
                <w:rFonts w:hint="eastAsia"/>
                <w:b/>
                <w:color w:val="000000" w:themeColor="text1"/>
                <w:sz w:val="20"/>
                <w:szCs w:val="20"/>
              </w:rPr>
              <w:t>(应说明相关证据)：</w:t>
            </w:r>
            <w:r>
              <w:rPr>
                <w:rFonts w:hint="eastAsia"/>
                <w:color w:val="000000" w:themeColor="text1"/>
                <w:sz w:val="20"/>
                <w:szCs w:val="20"/>
              </w:rPr>
              <w:t>验收规范、验收报告等。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3" w:hRule="atLeast"/>
          <w:jc w:val="center"/>
        </w:trPr>
        <w:tc>
          <w:tcPr>
            <w:tcW w:w="920" w:type="dxa"/>
            <w:vMerge w:val="continue"/>
            <w:vAlign w:val="center"/>
          </w:tcPr>
          <w:p>
            <w:pPr>
              <w:spacing w:line="240" w:lineRule="exact"/>
              <w:jc w:val="center"/>
              <w:rPr>
                <w:b/>
                <w:szCs w:val="21"/>
              </w:rPr>
            </w:pPr>
          </w:p>
        </w:tc>
        <w:tc>
          <w:tcPr>
            <w:tcW w:w="8998" w:type="dxa"/>
            <w:vAlign w:val="top"/>
          </w:tcPr>
          <w:p>
            <w:pPr>
              <w:spacing w:line="240" w:lineRule="exact"/>
              <w:rPr>
                <w:b/>
                <w:color w:val="000000" w:themeColor="text1"/>
                <w:sz w:val="20"/>
                <w:szCs w:val="20"/>
                <w:highlight w:val="none"/>
              </w:rPr>
            </w:pPr>
            <w:r>
              <w:rPr>
                <w:rFonts w:hint="eastAsia"/>
                <w:b/>
                <w:color w:val="000000" w:themeColor="text1"/>
                <w:sz w:val="20"/>
                <w:szCs w:val="20"/>
                <w:highlight w:val="none"/>
              </w:rPr>
              <w:t>5 .QMS国家/地方技术监督部门监测（检测、委托检测、定期监测、型式试验等）、抽查结果</w:t>
            </w:r>
          </w:p>
          <w:p>
            <w:pPr>
              <w:spacing w:line="300" w:lineRule="exact"/>
              <w:ind w:firstLine="196" w:firstLineChars="98"/>
              <w:rPr>
                <w:rFonts w:hint="eastAsia"/>
                <w:sz w:val="20"/>
                <w:szCs w:val="22"/>
                <w:highlight w:val="none"/>
                <w:lang w:val="en-US" w:eastAsia="zh-CN"/>
              </w:rPr>
            </w:pPr>
            <w:r>
              <w:rPr>
                <w:rFonts w:hint="eastAsia"/>
                <w:sz w:val="20"/>
                <w:szCs w:val="22"/>
                <w:highlight w:val="none"/>
                <w:lang w:val="en-US" w:eastAsia="zh-CN"/>
              </w:rPr>
              <w:t>提供成都市郫都区市场和质量监督管理局的产品监督抽查、以及企业送往第三方检验机构检测、检测结果合格</w:t>
            </w:r>
          </w:p>
          <w:p>
            <w:pPr>
              <w:spacing w:line="300" w:lineRule="exact"/>
              <w:ind w:firstLine="197" w:firstLineChars="98"/>
              <w:rPr>
                <w:rFonts w:hint="default" w:ascii="宋体" w:hAnsi="宋体" w:eastAsia="宋体"/>
                <w:b/>
                <w:sz w:val="21"/>
                <w:szCs w:val="21"/>
                <w:highlight w:val="none"/>
                <w:lang w:val="en-US" w:eastAsia="zh-CN"/>
              </w:rPr>
            </w:pPr>
            <w:r>
              <w:rPr>
                <w:rFonts w:hint="eastAsia"/>
                <w:b/>
                <w:color w:val="000000" w:themeColor="text1"/>
                <w:sz w:val="20"/>
                <w:szCs w:val="20"/>
                <w:highlight w:val="none"/>
              </w:rPr>
              <w:t>（附相关证据）：</w:t>
            </w:r>
            <w:r>
              <w:rPr>
                <w:rFonts w:hint="eastAsia"/>
                <w:b/>
                <w:color w:val="000000" w:themeColor="text1"/>
                <w:sz w:val="20"/>
                <w:szCs w:val="20"/>
                <w:highlight w:val="none"/>
                <w:lang w:val="en-US" w:eastAsia="zh-CN"/>
              </w:rPr>
              <w:t>见附件检验报告。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8" w:hRule="atLeast"/>
          <w:jc w:val="center"/>
        </w:trPr>
        <w:tc>
          <w:tcPr>
            <w:tcW w:w="920" w:type="dxa"/>
            <w:vMerge w:val="continue"/>
            <w:vAlign w:val="center"/>
          </w:tcPr>
          <w:p>
            <w:pPr>
              <w:spacing w:line="240" w:lineRule="exact"/>
              <w:jc w:val="center"/>
              <w:rPr>
                <w:b/>
                <w:szCs w:val="21"/>
              </w:rPr>
            </w:pPr>
          </w:p>
        </w:tc>
        <w:tc>
          <w:tcPr>
            <w:tcW w:w="8998" w:type="dxa"/>
            <w:vAlign w:val="top"/>
          </w:tcPr>
          <w:p>
            <w:pPr>
              <w:spacing w:line="240" w:lineRule="exact"/>
              <w:rPr>
                <w:b/>
                <w:color w:val="000000" w:themeColor="text1"/>
                <w:spacing w:val="-8"/>
                <w:sz w:val="20"/>
                <w:szCs w:val="20"/>
                <w:highlight w:val="none"/>
              </w:rPr>
            </w:pPr>
            <w:r>
              <w:rPr>
                <w:rFonts w:hint="eastAsia"/>
                <w:b/>
                <w:color w:val="000000" w:themeColor="text1"/>
                <w:sz w:val="20"/>
                <w:szCs w:val="20"/>
                <w:highlight w:val="none"/>
              </w:rPr>
              <w:t xml:space="preserve">6. </w:t>
            </w:r>
            <w:r>
              <w:rPr>
                <w:rFonts w:hint="eastAsia"/>
                <w:b/>
                <w:color w:val="000000" w:themeColor="text1"/>
                <w:spacing w:val="-8"/>
                <w:sz w:val="20"/>
                <w:szCs w:val="20"/>
                <w:highlight w:val="none"/>
              </w:rPr>
              <w:t>不合格品/项的识别、控制;</w:t>
            </w:r>
          </w:p>
          <w:p>
            <w:pPr>
              <w:spacing w:line="240" w:lineRule="exact"/>
              <w:ind w:firstLine="400" w:firstLineChars="200"/>
              <w:rPr>
                <w:rFonts w:ascii="宋体" w:hAnsi="宋体"/>
                <w:b/>
                <w:sz w:val="21"/>
                <w:szCs w:val="21"/>
                <w:highlight w:val="none"/>
              </w:rPr>
            </w:pPr>
            <w:r>
              <w:rPr>
                <w:rFonts w:hint="eastAsia"/>
                <w:sz w:val="20"/>
                <w:szCs w:val="22"/>
                <w:highlight w:val="none"/>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5" w:hRule="atLeast"/>
          <w:jc w:val="center"/>
        </w:trPr>
        <w:tc>
          <w:tcPr>
            <w:tcW w:w="920" w:type="dxa"/>
            <w:vMerge w:val="continue"/>
            <w:vAlign w:val="center"/>
          </w:tcPr>
          <w:p>
            <w:pPr>
              <w:spacing w:line="240" w:lineRule="exact"/>
              <w:jc w:val="center"/>
              <w:rPr>
                <w:b/>
                <w:szCs w:val="21"/>
              </w:rPr>
            </w:pPr>
          </w:p>
        </w:tc>
        <w:tc>
          <w:tcPr>
            <w:tcW w:w="89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spacing w:line="240" w:lineRule="exact"/>
              <w:ind w:firstLine="400" w:firstLineChars="200"/>
              <w:rPr>
                <w:rFonts w:hint="eastAsia"/>
                <w:sz w:val="20"/>
                <w:szCs w:val="22"/>
                <w:highlight w:val="none"/>
              </w:rPr>
            </w:pPr>
            <w:r>
              <w:rPr>
                <w:rFonts w:hint="eastAsia"/>
                <w:sz w:val="20"/>
                <w:szCs w:val="22"/>
                <w:highlight w:val="none"/>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240" w:lineRule="exact"/>
              <w:ind w:firstLine="400" w:firstLineChars="200"/>
              <w:rPr>
                <w:rFonts w:ascii="宋体" w:hAnsi="宋体"/>
                <w:b/>
                <w:sz w:val="21"/>
                <w:szCs w:val="21"/>
              </w:rPr>
            </w:pPr>
            <w:r>
              <w:rPr>
                <w:rFonts w:hint="eastAsia"/>
                <w:sz w:val="20"/>
                <w:szCs w:val="22"/>
                <w:highlight w:val="none"/>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920" w:type="dxa"/>
            <w:vMerge w:val="continue"/>
            <w:vAlign w:val="center"/>
          </w:tcPr>
          <w:p>
            <w:pPr>
              <w:spacing w:line="240" w:lineRule="exact"/>
              <w:jc w:val="center"/>
              <w:rPr>
                <w:b/>
                <w:szCs w:val="21"/>
              </w:rPr>
            </w:pPr>
          </w:p>
        </w:tc>
        <w:tc>
          <w:tcPr>
            <w:tcW w:w="8998" w:type="dxa"/>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240" w:lineRule="exact"/>
              <w:ind w:firstLine="400" w:firstLineChars="200"/>
              <w:rPr>
                <w:rFonts w:hint="eastAsia"/>
                <w:sz w:val="20"/>
                <w:szCs w:val="22"/>
                <w:highlight w:val="none"/>
              </w:rPr>
            </w:pPr>
            <w:r>
              <w:rPr>
                <w:rFonts w:hint="eastAsia"/>
                <w:sz w:val="20"/>
                <w:szCs w:val="22"/>
                <w:highlight w:val="none"/>
              </w:rPr>
              <w:t>组织重要环境因素为1）潜在火灾；2）固废的排放；3）废气、粉尘的排放；4）噪声的排放；5）废水的排放，需要应对的风险和机遇相关的过程为生产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应急预案。</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920" w:type="dxa"/>
            <w:vMerge w:val="continue"/>
            <w:vAlign w:val="center"/>
          </w:tcPr>
          <w:p>
            <w:pPr>
              <w:spacing w:line="240" w:lineRule="exact"/>
              <w:jc w:val="center"/>
              <w:rPr>
                <w:b/>
                <w:szCs w:val="21"/>
              </w:rPr>
            </w:pPr>
          </w:p>
        </w:tc>
        <w:tc>
          <w:tcPr>
            <w:tcW w:w="8998" w:type="dxa"/>
          </w:tcPr>
          <w:p>
            <w:pPr>
              <w:numPr>
                <w:ilvl w:val="0"/>
                <w:numId w:val="3"/>
              </w:numPr>
              <w:spacing w:line="240" w:lineRule="exact"/>
              <w:rPr>
                <w:rFonts w:hint="eastAsia" w:ascii="宋体" w:hAnsi="宋体"/>
                <w:b/>
                <w:sz w:val="21"/>
                <w:szCs w:val="21"/>
              </w:rPr>
            </w:pPr>
            <w:r>
              <w:rPr>
                <w:rFonts w:ascii="宋体" w:hAnsi="宋体"/>
                <w:b/>
                <w:sz w:val="21"/>
                <w:szCs w:val="21"/>
              </w:rPr>
              <w:t>OHSMS</w:t>
            </w:r>
            <w:r>
              <w:rPr>
                <w:rFonts w:hint="eastAsia" w:ascii="宋体" w:hAnsi="宋体"/>
                <w:b/>
                <w:sz w:val="21"/>
                <w:szCs w:val="21"/>
              </w:rPr>
              <w:t>组织对不可接受风险实施控制的结果</w:t>
            </w:r>
          </w:p>
          <w:p>
            <w:pPr>
              <w:numPr>
                <w:ilvl w:val="0"/>
                <w:numId w:val="0"/>
              </w:numPr>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6" w:hRule="atLeast"/>
          <w:jc w:val="center"/>
        </w:trPr>
        <w:tc>
          <w:tcPr>
            <w:tcW w:w="920" w:type="dxa"/>
            <w:vMerge w:val="continue"/>
            <w:vAlign w:val="center"/>
          </w:tcPr>
          <w:p>
            <w:pPr>
              <w:spacing w:line="240" w:lineRule="exact"/>
              <w:jc w:val="center"/>
              <w:rPr>
                <w:b/>
                <w:szCs w:val="21"/>
              </w:rPr>
            </w:pPr>
          </w:p>
        </w:tc>
        <w:tc>
          <w:tcPr>
            <w:tcW w:w="8998" w:type="dxa"/>
          </w:tcPr>
          <w:p>
            <w:pPr>
              <w:spacing w:line="240" w:lineRule="exact"/>
              <w:ind w:left="211" w:hanging="211" w:hangingChars="100"/>
              <w:rPr>
                <w:rFonts w:ascii="宋体" w:hAnsi="宋体"/>
                <w:b/>
                <w:sz w:val="21"/>
                <w:szCs w:val="21"/>
              </w:rPr>
            </w:pPr>
            <w:r>
              <w:rPr>
                <w:rFonts w:ascii="宋体" w:hAnsi="宋体"/>
                <w:b/>
                <w:sz w:val="21"/>
                <w:szCs w:val="21"/>
              </w:rPr>
              <w:t xml:space="preserve">9. </w:t>
            </w:r>
            <w:r>
              <w:rPr>
                <w:rFonts w:hint="eastAsia" w:ascii="宋体" w:hAnsi="宋体"/>
                <w:b/>
                <w:sz w:val="21"/>
                <w:szCs w:val="21"/>
              </w:rPr>
              <w:t>应急准备与相应活动的演练及对预案可行性的评价</w:t>
            </w:r>
            <w:r>
              <w:rPr>
                <w:rFonts w:ascii="宋体" w:hAnsi="宋体"/>
                <w:b/>
                <w:sz w:val="21"/>
                <w:szCs w:val="21"/>
              </w:rPr>
              <w:t>(</w:t>
            </w:r>
            <w:r>
              <w:rPr>
                <w:rFonts w:hint="eastAsia" w:ascii="宋体" w:hAnsi="宋体"/>
                <w:b/>
                <w:sz w:val="21"/>
                <w:szCs w:val="21"/>
              </w:rPr>
              <w:t>当有规定时</w:t>
            </w:r>
            <w:r>
              <w:rPr>
                <w:rFonts w:ascii="宋体" w:hAnsi="宋体"/>
                <w:b/>
                <w:sz w:val="21"/>
                <w:szCs w:val="21"/>
              </w:rPr>
              <w:t xml:space="preserve">) </w:t>
            </w:r>
          </w:p>
          <w:p>
            <w:pPr>
              <w:spacing w:line="240" w:lineRule="exact"/>
              <w:ind w:firstLine="400" w:firstLineChars="200"/>
              <w:rPr>
                <w:rFonts w:ascii="宋体" w:hAnsi="宋体"/>
                <w:b/>
                <w:sz w:val="21"/>
                <w:szCs w:val="21"/>
              </w:rPr>
            </w:pPr>
            <w:r>
              <w:rPr>
                <w:rFonts w:hint="eastAsia"/>
                <w:sz w:val="20"/>
                <w:szCs w:val="20"/>
                <w:highlight w:val="none"/>
              </w:rPr>
              <w:t>组织识别了紧急情况，应急准备和响应为潜在火灾，识别合理、有效。应急物资配备有灭火器和消防栓，编制有应急预案，并组织了演练，并对应急预案进行了评价。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6" w:hRule="atLeast"/>
          <w:jc w:val="center"/>
        </w:trPr>
        <w:tc>
          <w:tcPr>
            <w:tcW w:w="920" w:type="dxa"/>
            <w:vMerge w:val="continue"/>
            <w:vAlign w:val="center"/>
          </w:tcPr>
          <w:p>
            <w:pPr>
              <w:spacing w:line="240" w:lineRule="exact"/>
              <w:jc w:val="center"/>
              <w:rPr>
                <w:b/>
                <w:szCs w:val="21"/>
              </w:rPr>
            </w:pPr>
          </w:p>
        </w:tc>
        <w:tc>
          <w:tcPr>
            <w:tcW w:w="8998" w:type="dxa"/>
          </w:tcPr>
          <w:p>
            <w:pPr>
              <w:spacing w:line="240" w:lineRule="exact"/>
              <w:rPr>
                <w:rFonts w:ascii="宋体" w:hAnsi="宋体"/>
                <w:b/>
                <w:sz w:val="21"/>
                <w:szCs w:val="21"/>
              </w:rPr>
            </w:pPr>
            <w:r>
              <w:rPr>
                <w:rFonts w:ascii="宋体" w:hAnsi="宋体"/>
                <w:b/>
                <w:sz w:val="21"/>
                <w:szCs w:val="21"/>
              </w:rPr>
              <w:t xml:space="preserve">10. </w:t>
            </w:r>
            <w:r>
              <w:rPr>
                <w:rFonts w:hint="eastAsia" w:ascii="宋体" w:hAnsi="宋体"/>
                <w:b/>
                <w:sz w:val="21"/>
                <w:szCs w:val="21"/>
              </w:rPr>
              <w:t>对特种设备的维护，检定</w:t>
            </w:r>
            <w:r>
              <w:rPr>
                <w:rFonts w:ascii="宋体" w:hAnsi="宋体"/>
                <w:b/>
                <w:sz w:val="21"/>
                <w:szCs w:val="21"/>
              </w:rPr>
              <w:t>;</w:t>
            </w:r>
            <w:r>
              <w:rPr>
                <w:rFonts w:hint="eastAsia" w:ascii="宋体" w:hAnsi="宋体"/>
                <w:b/>
                <w:sz w:val="21"/>
                <w:szCs w:val="21"/>
              </w:rPr>
              <w:t>（</w:t>
            </w:r>
            <w:r>
              <w:rPr>
                <w:rFonts w:ascii="宋体" w:hAnsi="宋体"/>
                <w:b/>
                <w:sz w:val="21"/>
                <w:szCs w:val="21"/>
              </w:rPr>
              <w:t>适用时</w:t>
            </w:r>
            <w:r>
              <w:rPr>
                <w:rFonts w:hint="eastAsia" w:ascii="宋体" w:hAnsi="宋体"/>
                <w:b/>
                <w:sz w:val="21"/>
                <w:szCs w:val="21"/>
              </w:rPr>
              <w:t>）</w:t>
            </w:r>
          </w:p>
          <w:p>
            <w:pPr>
              <w:ind w:left="240" w:leftChars="100" w:firstLine="105" w:firstLineChars="50"/>
              <w:jc w:val="left"/>
              <w:rPr>
                <w:rFonts w:hint="default" w:ascii="宋体" w:hAnsi="宋体" w:eastAsia="宋体"/>
                <w:b/>
                <w:sz w:val="21"/>
                <w:szCs w:val="21"/>
                <w:lang w:val="en-US" w:eastAsia="zh-CN"/>
              </w:rPr>
            </w:pPr>
            <w:r>
              <w:rPr>
                <w:rFonts w:hint="eastAsia" w:ascii="宋体" w:hAnsi="宋体"/>
                <w:b/>
                <w:sz w:val="21"/>
                <w:szCs w:val="21"/>
                <w:lang w:val="en-US" w:eastAsia="zh-CN"/>
              </w:rPr>
              <w:t>3.5T叉车1台，现场提供检测报告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1" w:hRule="atLeast"/>
          <w:jc w:val="center"/>
        </w:trPr>
        <w:tc>
          <w:tcPr>
            <w:tcW w:w="920" w:type="dxa"/>
            <w:vMerge w:val="continue"/>
            <w:vAlign w:val="center"/>
          </w:tcPr>
          <w:p>
            <w:pPr>
              <w:spacing w:line="240" w:lineRule="exact"/>
              <w:jc w:val="center"/>
              <w:rPr>
                <w:b/>
                <w:szCs w:val="21"/>
              </w:rPr>
            </w:pPr>
          </w:p>
        </w:tc>
        <w:tc>
          <w:tcPr>
            <w:tcW w:w="8998" w:type="dxa"/>
          </w:tcPr>
          <w:p>
            <w:pPr>
              <w:spacing w:line="240" w:lineRule="exact"/>
              <w:rPr>
                <w:rFonts w:ascii="宋体" w:hAnsi="宋体"/>
                <w:b/>
                <w:sz w:val="21"/>
                <w:szCs w:val="21"/>
              </w:rPr>
            </w:pPr>
            <w:r>
              <w:rPr>
                <w:rFonts w:ascii="宋体" w:hAnsi="宋体"/>
                <w:b/>
                <w:sz w:val="21"/>
                <w:szCs w:val="21"/>
              </w:rPr>
              <w:t>11 .</w:t>
            </w:r>
            <w:r>
              <w:rPr>
                <w:rFonts w:hint="eastAsia" w:ascii="宋体" w:hAnsi="宋体"/>
                <w:b/>
                <w:sz w:val="21"/>
                <w:szCs w:val="21"/>
              </w:rPr>
              <w:t>对危险化学品销售、使用、储存、运输处置，规定的执行力度</w:t>
            </w:r>
            <w:r>
              <w:rPr>
                <w:rFonts w:ascii="宋体" w:hAnsi="宋体"/>
                <w:b/>
                <w:sz w:val="21"/>
                <w:szCs w:val="21"/>
              </w:rPr>
              <w:t>(</w:t>
            </w:r>
            <w:r>
              <w:rPr>
                <w:rFonts w:hint="eastAsia" w:ascii="宋体" w:hAnsi="宋体"/>
                <w:b/>
                <w:sz w:val="21"/>
                <w:szCs w:val="21"/>
              </w:rPr>
              <w:t>必要时</w:t>
            </w:r>
            <w:r>
              <w:rPr>
                <w:rFonts w:ascii="宋体" w:hAnsi="宋体"/>
                <w:b/>
                <w:sz w:val="21"/>
                <w:szCs w:val="21"/>
              </w:rPr>
              <w:t>);</w:t>
            </w:r>
          </w:p>
          <w:p>
            <w:pPr>
              <w:spacing w:line="240" w:lineRule="exact"/>
              <w:rPr>
                <w:rFonts w:ascii="宋体" w:hAnsi="宋体"/>
                <w:b/>
                <w:sz w:val="21"/>
                <w:szCs w:val="21"/>
              </w:rPr>
            </w:pPr>
            <w:r>
              <w:rPr>
                <w:rFonts w:hint="eastAsia"/>
                <w:sz w:val="20"/>
                <w:szCs w:val="20"/>
                <w:highlight w:val="none"/>
              </w:rPr>
              <w:t>危险化学品：无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6" w:hRule="atLeast"/>
          <w:jc w:val="center"/>
        </w:trPr>
        <w:tc>
          <w:tcPr>
            <w:tcW w:w="920" w:type="dxa"/>
            <w:vMerge w:val="restart"/>
            <w:textDirection w:val="tbRlV"/>
            <w:vAlign w:val="center"/>
          </w:tcPr>
          <w:p>
            <w:pPr>
              <w:spacing w:line="240" w:lineRule="exact"/>
              <w:ind w:left="113" w:right="113"/>
              <w:jc w:val="center"/>
              <w:rPr>
                <w:rFonts w:ascii="宋体" w:hAnsi="宋体"/>
                <w:b/>
                <w:szCs w:val="21"/>
              </w:rPr>
            </w:pPr>
            <w:r>
              <w:rPr>
                <w:rFonts w:ascii="宋体" w:hAnsi="宋体"/>
                <w:b/>
                <w:szCs w:val="21"/>
              </w:rPr>
              <w:t>(</w:t>
            </w:r>
            <w:r>
              <w:rPr>
                <w:rFonts w:hint="eastAsia" w:ascii="宋体" w:hAnsi="宋体"/>
                <w:b/>
                <w:szCs w:val="21"/>
              </w:rPr>
              <w:t>四</w:t>
            </w:r>
            <w:r>
              <w:rPr>
                <w:rFonts w:ascii="宋体" w:hAnsi="宋体"/>
                <w:b/>
                <w:szCs w:val="21"/>
              </w:rPr>
              <w:t>)</w:t>
            </w:r>
            <w:r>
              <w:rPr>
                <w:rFonts w:hint="eastAsia" w:ascii="宋体" w:hAnsi="宋体"/>
                <w:b/>
                <w:szCs w:val="21"/>
              </w:rPr>
              <w:t>监视测量方面</w:t>
            </w:r>
          </w:p>
        </w:tc>
        <w:tc>
          <w:tcPr>
            <w:tcW w:w="8998" w:type="dxa"/>
          </w:tcPr>
          <w:p>
            <w:pPr>
              <w:spacing w:line="240" w:lineRule="exact"/>
              <w:ind w:left="105" w:hanging="105" w:hangingChars="50"/>
              <w:rPr>
                <w:rFonts w:hint="eastAsia" w:ascii="宋体" w:hAnsi="宋体"/>
                <w:b/>
                <w:sz w:val="21"/>
                <w:szCs w:val="21"/>
              </w:rPr>
            </w:pPr>
            <w:r>
              <w:rPr>
                <w:rFonts w:ascii="宋体" w:hAnsi="宋体"/>
                <w:b/>
                <w:sz w:val="21"/>
                <w:szCs w:val="21"/>
              </w:rPr>
              <w:t>1. .</w:t>
            </w:r>
            <w:r>
              <w:rPr>
                <w:rFonts w:hint="eastAsia" w:ascii="宋体" w:hAnsi="宋体"/>
                <w:b/>
                <w:sz w:val="21"/>
                <w:szCs w:val="21"/>
              </w:rPr>
              <w:t>对质量</w:t>
            </w:r>
            <w:r>
              <w:rPr>
                <w:rFonts w:ascii="宋体" w:hAnsi="宋体"/>
                <w:b/>
                <w:sz w:val="21"/>
                <w:szCs w:val="21"/>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rPr>
              <w:t>职业健康安全目标指标进行定期监测</w:t>
            </w:r>
            <w:r>
              <w:rPr>
                <w:rFonts w:ascii="宋体" w:hAnsi="宋体"/>
                <w:b/>
                <w:sz w:val="21"/>
                <w:szCs w:val="21"/>
              </w:rPr>
              <w:t>/</w:t>
            </w:r>
            <w:r>
              <w:rPr>
                <w:rFonts w:hint="eastAsia" w:ascii="宋体" w:hAnsi="宋体"/>
                <w:b/>
                <w:sz w:val="21"/>
                <w:szCs w:val="21"/>
              </w:rPr>
              <w:t>检查情况</w:t>
            </w:r>
          </w:p>
          <w:p>
            <w:pPr>
              <w:spacing w:line="240" w:lineRule="exact"/>
              <w:ind w:firstLine="400" w:firstLineChars="200"/>
              <w:rPr>
                <w:rFonts w:ascii="宋体" w:hAnsi="宋体"/>
                <w:b/>
                <w:sz w:val="21"/>
                <w:szCs w:val="21"/>
              </w:rPr>
            </w:pPr>
            <w:r>
              <w:rPr>
                <w:rFonts w:hint="eastAsia"/>
                <w:sz w:val="20"/>
                <w:szCs w:val="20"/>
                <w:highlight w:val="none"/>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通过20</w:t>
            </w:r>
            <w:r>
              <w:rPr>
                <w:rFonts w:hint="eastAsia"/>
                <w:sz w:val="20"/>
                <w:szCs w:val="20"/>
                <w:highlight w:val="none"/>
                <w:lang w:val="en-US" w:eastAsia="zh-CN"/>
              </w:rPr>
              <w:t>20</w:t>
            </w:r>
            <w:r>
              <w:rPr>
                <w:rFonts w:hint="eastAsia"/>
                <w:sz w:val="20"/>
                <w:szCs w:val="20"/>
                <w:highlight w:val="none"/>
              </w:rPr>
              <w:t>年</w:t>
            </w:r>
            <w:r>
              <w:rPr>
                <w:rFonts w:hint="eastAsia"/>
                <w:sz w:val="20"/>
                <w:szCs w:val="20"/>
                <w:highlight w:val="none"/>
                <w:lang w:val="en-US" w:eastAsia="zh-CN"/>
              </w:rPr>
              <w:t>4</w:t>
            </w:r>
            <w:r>
              <w:rPr>
                <w:rFonts w:hint="eastAsia"/>
                <w:sz w:val="20"/>
                <w:szCs w:val="20"/>
                <w:highlight w:val="none"/>
              </w:rPr>
              <w:t>-</w:t>
            </w:r>
            <w:r>
              <w:rPr>
                <w:rFonts w:hint="eastAsia"/>
                <w:sz w:val="20"/>
                <w:szCs w:val="20"/>
                <w:highlight w:val="none"/>
                <w:lang w:val="en-US" w:eastAsia="zh-CN"/>
              </w:rPr>
              <w:t>6</w:t>
            </w:r>
            <w:r>
              <w:rPr>
                <w:rFonts w:hint="eastAsia"/>
                <w:sz w:val="20"/>
                <w:szCs w:val="20"/>
                <w:highlight w:val="none"/>
              </w:rPr>
              <w:t>月目标的测量，总体已达到或超过了规定的目标值。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8" w:hRule="atLeast"/>
          <w:jc w:val="center"/>
        </w:trPr>
        <w:tc>
          <w:tcPr>
            <w:tcW w:w="920" w:type="dxa"/>
            <w:vMerge w:val="continue"/>
            <w:textDirection w:val="tbRlV"/>
            <w:vAlign w:val="center"/>
          </w:tcPr>
          <w:p>
            <w:pPr>
              <w:spacing w:line="240" w:lineRule="exact"/>
              <w:ind w:left="113" w:right="113"/>
              <w:jc w:val="center"/>
              <w:rPr>
                <w:b/>
                <w:szCs w:val="21"/>
              </w:rPr>
            </w:pPr>
          </w:p>
        </w:tc>
        <w:tc>
          <w:tcPr>
            <w:tcW w:w="8998" w:type="dxa"/>
          </w:tcPr>
          <w:p>
            <w:pPr>
              <w:numPr>
                <w:ilvl w:val="0"/>
                <w:numId w:val="4"/>
              </w:numPr>
              <w:spacing w:line="240" w:lineRule="exact"/>
              <w:ind w:left="105" w:hanging="105" w:hangingChars="50"/>
              <w:rPr>
                <w:rFonts w:hint="eastAsia" w:ascii="宋体" w:hAnsi="宋体"/>
                <w:b/>
                <w:sz w:val="21"/>
                <w:szCs w:val="21"/>
              </w:rPr>
            </w:pPr>
            <w:r>
              <w:rPr>
                <w:rFonts w:hint="eastAsia" w:ascii="宋体" w:hAnsi="宋体"/>
                <w:b/>
                <w:sz w:val="21"/>
                <w:szCs w:val="21"/>
              </w:rPr>
              <w:t>顾客满意</w:t>
            </w:r>
          </w:p>
          <w:p>
            <w:pPr>
              <w:numPr>
                <w:ilvl w:val="0"/>
                <w:numId w:val="0"/>
              </w:numPr>
              <w:spacing w:line="240" w:lineRule="exact"/>
              <w:ind w:leftChars="-50" w:firstLine="400" w:firstLineChars="200"/>
              <w:rPr>
                <w:rFonts w:hint="eastAsia" w:ascii="宋体" w:hAnsi="宋体"/>
                <w:b/>
                <w:sz w:val="21"/>
                <w:szCs w:val="21"/>
              </w:rPr>
            </w:pPr>
            <w:r>
              <w:rPr>
                <w:rFonts w:hint="eastAsia"/>
                <w:sz w:val="20"/>
                <w:szCs w:val="20"/>
                <w:highlight w:val="none"/>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顾客满意度调查按规定实施，20</w:t>
            </w:r>
            <w:r>
              <w:rPr>
                <w:rFonts w:hint="eastAsia"/>
                <w:sz w:val="20"/>
                <w:szCs w:val="20"/>
                <w:highlight w:val="none"/>
                <w:lang w:val="en-US" w:eastAsia="zh-CN"/>
              </w:rPr>
              <w:t>20</w:t>
            </w:r>
            <w:r>
              <w:rPr>
                <w:rFonts w:hint="eastAsia"/>
                <w:sz w:val="20"/>
                <w:szCs w:val="20"/>
                <w:highlight w:val="none"/>
              </w:rPr>
              <w:t>年4月实施，满意度评价98分，总体实现了顾客满意度的质量目标要求。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51" w:hRule="atLeast"/>
          <w:jc w:val="center"/>
        </w:trPr>
        <w:tc>
          <w:tcPr>
            <w:tcW w:w="920" w:type="dxa"/>
            <w:vMerge w:val="continue"/>
            <w:textDirection w:val="tbRlV"/>
            <w:vAlign w:val="center"/>
          </w:tcPr>
          <w:p>
            <w:pPr>
              <w:spacing w:line="240" w:lineRule="exact"/>
              <w:ind w:left="113" w:right="113"/>
              <w:jc w:val="center"/>
              <w:rPr>
                <w:b/>
                <w:szCs w:val="21"/>
              </w:rPr>
            </w:pPr>
          </w:p>
        </w:tc>
        <w:tc>
          <w:tcPr>
            <w:tcW w:w="8998" w:type="dxa"/>
          </w:tcPr>
          <w:p>
            <w:pPr>
              <w:spacing w:line="240" w:lineRule="exact"/>
              <w:rPr>
                <w:rFonts w:ascii="宋体" w:hAnsi="宋体"/>
                <w:b/>
                <w:sz w:val="21"/>
                <w:szCs w:val="21"/>
              </w:rPr>
            </w:pPr>
            <w:r>
              <w:rPr>
                <w:rFonts w:ascii="宋体" w:hAnsi="宋体"/>
                <w:b/>
                <w:sz w:val="21"/>
                <w:szCs w:val="21"/>
              </w:rPr>
              <w:t xml:space="preserve">3. </w:t>
            </w:r>
            <w:r>
              <w:rPr>
                <w:rFonts w:hint="eastAsia" w:ascii="宋体" w:hAnsi="宋体"/>
                <w:b/>
                <w:sz w:val="21"/>
                <w:szCs w:val="21"/>
              </w:rPr>
              <w:t>内审（包括内审策划审核方案中考虑拟审核的过程和区域的状况和重要性）</w:t>
            </w:r>
          </w:p>
          <w:p>
            <w:pPr>
              <w:numPr>
                <w:ilvl w:val="0"/>
                <w:numId w:val="0"/>
              </w:numPr>
              <w:spacing w:line="240" w:lineRule="exact"/>
              <w:ind w:leftChars="-50" w:firstLine="400" w:firstLineChars="200"/>
              <w:rPr>
                <w:rFonts w:ascii="宋体" w:hAnsi="宋体"/>
                <w:b/>
                <w:sz w:val="21"/>
                <w:szCs w:val="21"/>
              </w:rPr>
            </w:pPr>
            <w:r>
              <w:rPr>
                <w:rFonts w:hint="eastAsia"/>
                <w:sz w:val="20"/>
                <w:szCs w:val="20"/>
                <w:highlight w:val="none"/>
              </w:rPr>
              <w:t>建立有《内部审核控制程序》，规定了内审频次一年一次，内审时间：20</w:t>
            </w:r>
            <w:r>
              <w:rPr>
                <w:rFonts w:hint="eastAsia"/>
                <w:sz w:val="20"/>
                <w:szCs w:val="20"/>
                <w:highlight w:val="none"/>
                <w:lang w:val="en-US" w:eastAsia="zh-CN"/>
              </w:rPr>
              <w:t>20</w:t>
            </w:r>
            <w:r>
              <w:rPr>
                <w:rFonts w:hint="eastAsia"/>
                <w:sz w:val="20"/>
                <w:szCs w:val="20"/>
                <w:highlight w:val="none"/>
              </w:rPr>
              <w:t>年</w:t>
            </w:r>
            <w:r>
              <w:rPr>
                <w:rFonts w:hint="eastAsia"/>
                <w:sz w:val="20"/>
                <w:szCs w:val="20"/>
                <w:highlight w:val="none"/>
                <w:lang w:val="en-US" w:eastAsia="zh-CN"/>
              </w:rPr>
              <w:t>5</w:t>
            </w:r>
            <w:r>
              <w:rPr>
                <w:rFonts w:hint="eastAsia"/>
                <w:sz w:val="20"/>
                <w:szCs w:val="20"/>
                <w:highlight w:val="none"/>
              </w:rPr>
              <w:t>月</w:t>
            </w:r>
            <w:r>
              <w:rPr>
                <w:rFonts w:hint="eastAsia"/>
                <w:sz w:val="20"/>
                <w:szCs w:val="20"/>
                <w:highlight w:val="none"/>
                <w:lang w:val="en-US" w:eastAsia="zh-CN"/>
              </w:rPr>
              <w:t>10</w:t>
            </w:r>
            <w:r>
              <w:rPr>
                <w:rFonts w:hint="eastAsia"/>
                <w:sz w:val="20"/>
                <w:szCs w:val="20"/>
                <w:highlight w:val="none"/>
              </w:rPr>
              <w:t>日，拟定了审核实施表，明确了内审范围，内审人员经培训合格上岗，能力满足要求，未出现审核本部门情况，内审不符合项</w:t>
            </w:r>
            <w:r>
              <w:rPr>
                <w:rFonts w:hint="eastAsia"/>
                <w:sz w:val="20"/>
                <w:szCs w:val="20"/>
                <w:highlight w:val="none"/>
                <w:lang w:val="en-US" w:eastAsia="zh-CN"/>
              </w:rPr>
              <w:t>1</w:t>
            </w:r>
            <w:r>
              <w:rPr>
                <w:rFonts w:hint="eastAsia"/>
                <w:sz w:val="20"/>
                <w:szCs w:val="20"/>
                <w:highlight w:val="none"/>
              </w:rPr>
              <w:t>项，涉及涉及市场部</w:t>
            </w:r>
            <w:r>
              <w:rPr>
                <w:rFonts w:hint="eastAsia"/>
                <w:sz w:val="20"/>
                <w:szCs w:val="20"/>
                <w:highlight w:val="none"/>
                <w:lang w:val="en-US" w:eastAsia="zh-CN"/>
              </w:rPr>
              <w:t>9.1.2</w:t>
            </w:r>
            <w:r>
              <w:rPr>
                <w:rFonts w:hint="eastAsia"/>
                <w:sz w:val="20"/>
                <w:szCs w:val="20"/>
                <w:highlight w:val="none"/>
              </w:rPr>
              <w:t>条款</w:t>
            </w:r>
            <w:r>
              <w:rPr>
                <w:rFonts w:hint="eastAsia"/>
                <w:sz w:val="20"/>
                <w:szCs w:val="20"/>
                <w:highlight w:val="none"/>
                <w:lang w:eastAsia="zh-CN"/>
              </w:rPr>
              <w:t>没有对顾客满意度进行分析</w:t>
            </w:r>
            <w:r>
              <w:rPr>
                <w:rFonts w:hint="eastAsia"/>
                <w:sz w:val="20"/>
                <w:szCs w:val="20"/>
                <w:highlight w:val="none"/>
              </w:rPr>
              <w:t>；针对该不符合项，已及时采取纠正措施后，经内审员验证关闭。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9" w:hRule="atLeast"/>
          <w:jc w:val="center"/>
        </w:trPr>
        <w:tc>
          <w:tcPr>
            <w:tcW w:w="920" w:type="dxa"/>
            <w:vMerge w:val="continue"/>
            <w:textDirection w:val="tbRlV"/>
            <w:vAlign w:val="center"/>
          </w:tcPr>
          <w:p>
            <w:pPr>
              <w:spacing w:line="240" w:lineRule="exact"/>
              <w:ind w:left="113" w:right="113"/>
              <w:jc w:val="center"/>
              <w:rPr>
                <w:b/>
                <w:szCs w:val="21"/>
              </w:rPr>
            </w:pPr>
          </w:p>
        </w:tc>
        <w:tc>
          <w:tcPr>
            <w:tcW w:w="8998" w:type="dxa"/>
          </w:tcPr>
          <w:p>
            <w:pPr>
              <w:spacing w:line="240" w:lineRule="exact"/>
              <w:rPr>
                <w:rFonts w:ascii="宋体" w:hAnsi="宋体"/>
                <w:b/>
                <w:sz w:val="21"/>
                <w:szCs w:val="21"/>
                <w:highlight w:val="none"/>
              </w:rPr>
            </w:pPr>
            <w:r>
              <w:rPr>
                <w:rFonts w:ascii="宋体" w:hAnsi="宋体"/>
                <w:b/>
                <w:sz w:val="21"/>
                <w:szCs w:val="21"/>
                <w:highlight w:val="none"/>
              </w:rPr>
              <w:t>4.</w:t>
            </w:r>
            <w:r>
              <w:rPr>
                <w:rFonts w:hint="eastAsia" w:ascii="宋体" w:hAnsi="宋体"/>
                <w:b/>
                <w:sz w:val="21"/>
                <w:szCs w:val="21"/>
                <w:highlight w:val="none"/>
              </w:rPr>
              <w:t>管理评审（管理评审体系变更需求，纠正和预防措施、体系有效性等）</w:t>
            </w:r>
          </w:p>
          <w:p>
            <w:pPr>
              <w:spacing w:line="240" w:lineRule="exact"/>
              <w:ind w:firstLine="400" w:firstLineChars="200"/>
              <w:rPr>
                <w:rFonts w:ascii="宋体" w:hAnsi="宋体"/>
                <w:b/>
                <w:sz w:val="21"/>
                <w:szCs w:val="21"/>
                <w:highlight w:val="none"/>
              </w:rPr>
            </w:pPr>
            <w:r>
              <w:rPr>
                <w:rFonts w:hint="eastAsia"/>
                <w:sz w:val="20"/>
                <w:szCs w:val="20"/>
                <w:highlight w:val="none"/>
              </w:rPr>
              <w:t>管理评审频次为一年一次、本次管理评审于20</w:t>
            </w:r>
            <w:r>
              <w:rPr>
                <w:rFonts w:hint="eastAsia"/>
                <w:sz w:val="20"/>
                <w:szCs w:val="20"/>
                <w:highlight w:val="none"/>
                <w:lang w:val="en-US" w:eastAsia="zh-CN"/>
              </w:rPr>
              <w:t>20</w:t>
            </w:r>
            <w:r>
              <w:rPr>
                <w:rFonts w:hint="eastAsia"/>
                <w:sz w:val="20"/>
                <w:szCs w:val="20"/>
                <w:highlight w:val="none"/>
              </w:rPr>
              <w:t>年</w:t>
            </w:r>
            <w:r>
              <w:rPr>
                <w:rFonts w:hint="eastAsia"/>
                <w:sz w:val="20"/>
                <w:szCs w:val="20"/>
                <w:highlight w:val="none"/>
                <w:lang w:val="en-US" w:eastAsia="zh-CN"/>
              </w:rPr>
              <w:t>6</w:t>
            </w:r>
            <w:r>
              <w:rPr>
                <w:rFonts w:hint="eastAsia"/>
                <w:sz w:val="20"/>
                <w:szCs w:val="20"/>
                <w:highlight w:val="none"/>
              </w:rPr>
              <w:t>月</w:t>
            </w:r>
            <w:r>
              <w:rPr>
                <w:rFonts w:hint="eastAsia"/>
                <w:sz w:val="20"/>
                <w:szCs w:val="20"/>
                <w:highlight w:val="none"/>
                <w:lang w:val="en-US" w:eastAsia="zh-CN"/>
              </w:rPr>
              <w:t>9</w:t>
            </w:r>
            <w:r>
              <w:rPr>
                <w:rFonts w:hint="eastAsia"/>
                <w:sz w:val="20"/>
                <w:szCs w:val="20"/>
                <w:highlight w:val="none"/>
              </w:rPr>
              <w:t>日由总经理主持完成、提供主要输入材料有各部门总结，输入信息基本充分和满足要求。输出见“管理评审报告”, 做出了管理体系基本适宜、充分和有效的评审结论。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jc w:val="center"/>
        </w:trPr>
        <w:tc>
          <w:tcPr>
            <w:tcW w:w="920" w:type="dxa"/>
            <w:vMerge w:val="continue"/>
            <w:vAlign w:val="center"/>
          </w:tcPr>
          <w:p>
            <w:pPr>
              <w:spacing w:line="240" w:lineRule="exact"/>
              <w:jc w:val="center"/>
              <w:rPr>
                <w:b/>
                <w:sz w:val="20"/>
              </w:rPr>
            </w:pPr>
          </w:p>
        </w:tc>
        <w:tc>
          <w:tcPr>
            <w:tcW w:w="8998" w:type="dxa"/>
          </w:tcPr>
          <w:p>
            <w:pPr>
              <w:numPr>
                <w:ilvl w:val="0"/>
                <w:numId w:val="5"/>
              </w:numPr>
              <w:spacing w:line="240" w:lineRule="exact"/>
              <w:rPr>
                <w:rFonts w:hint="eastAsia" w:ascii="宋体" w:hAnsi="宋体"/>
                <w:b/>
                <w:sz w:val="21"/>
                <w:szCs w:val="21"/>
                <w:highlight w:val="none"/>
              </w:rPr>
            </w:pPr>
            <w:r>
              <w:rPr>
                <w:rFonts w:ascii="宋体" w:hAnsi="宋体"/>
                <w:b/>
                <w:sz w:val="21"/>
                <w:szCs w:val="21"/>
                <w:highlight w:val="none"/>
              </w:rPr>
              <w:t xml:space="preserve"> EMS</w:t>
            </w:r>
            <w:r>
              <w:rPr>
                <w:rFonts w:hint="eastAsia" w:ascii="宋体" w:hAnsi="宋体"/>
                <w:b/>
                <w:sz w:val="21"/>
                <w:szCs w:val="21"/>
                <w:highlight w:val="none"/>
              </w:rPr>
              <w:t>是否按规定对主要污染物（污水、废气、噪声、废渣等）及排放实施了例行的监视或测量，结果是否满足相关要求？</w:t>
            </w:r>
          </w:p>
          <w:p>
            <w:pPr>
              <w:numPr>
                <w:ilvl w:val="0"/>
                <w:numId w:val="0"/>
              </w:numPr>
              <w:spacing w:line="240" w:lineRule="exact"/>
              <w:rPr>
                <w:rFonts w:hint="default" w:ascii="宋体" w:hAnsi="宋体" w:eastAsia="宋体"/>
                <w:b/>
                <w:sz w:val="21"/>
                <w:szCs w:val="21"/>
                <w:highlight w:val="none"/>
                <w:lang w:val="en-US" w:eastAsia="zh-CN"/>
              </w:rPr>
            </w:pPr>
            <w:r>
              <w:rPr>
                <w:rFonts w:hint="eastAsia" w:ascii="宋体" w:hAnsi="宋体"/>
                <w:b/>
                <w:sz w:val="21"/>
                <w:szCs w:val="21"/>
                <w:highlight w:val="none"/>
                <w:lang w:val="en-US" w:eastAsia="zh-CN"/>
              </w:rPr>
              <w:t xml:space="preserve"> </w:t>
            </w:r>
            <w:r>
              <w:rPr>
                <w:rFonts w:hint="eastAsia"/>
                <w:sz w:val="20"/>
                <w:szCs w:val="20"/>
                <w:highlight w:val="none"/>
                <w:lang w:val="en-US" w:eastAsia="zh-CN"/>
              </w:rPr>
              <w:t>由于疫情影响，今年公司环境监测已经与四川凯乐检测技术有限公司签订了检测合同，但是检测计划目前还未出具，现场提供检测合同，详见附件。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4" w:hRule="atLeast"/>
          <w:jc w:val="center"/>
        </w:trPr>
        <w:tc>
          <w:tcPr>
            <w:tcW w:w="920" w:type="dxa"/>
            <w:vMerge w:val="continue"/>
            <w:vAlign w:val="center"/>
          </w:tcPr>
          <w:p>
            <w:pPr>
              <w:spacing w:line="240" w:lineRule="exact"/>
              <w:jc w:val="center"/>
              <w:rPr>
                <w:b/>
                <w:sz w:val="20"/>
              </w:rPr>
            </w:pPr>
          </w:p>
        </w:tc>
        <w:tc>
          <w:tcPr>
            <w:tcW w:w="8998" w:type="dxa"/>
          </w:tcPr>
          <w:p>
            <w:pPr>
              <w:spacing w:line="240" w:lineRule="exact"/>
              <w:ind w:left="105" w:hanging="105" w:hangingChars="50"/>
              <w:rPr>
                <w:rFonts w:ascii="宋体" w:hAnsi="宋体"/>
                <w:b/>
                <w:sz w:val="21"/>
                <w:szCs w:val="21"/>
                <w:highlight w:val="none"/>
              </w:rPr>
            </w:pPr>
            <w:r>
              <w:rPr>
                <w:rFonts w:ascii="宋体" w:hAnsi="宋体"/>
                <w:b/>
                <w:sz w:val="21"/>
                <w:szCs w:val="21"/>
                <w:highlight w:val="none"/>
              </w:rPr>
              <w:t>6.  EMS</w:t>
            </w:r>
            <w:r>
              <w:rPr>
                <w:rFonts w:hint="eastAsia" w:ascii="宋体" w:hAnsi="宋体"/>
                <w:b/>
                <w:sz w:val="21"/>
                <w:szCs w:val="21"/>
                <w:highlight w:val="none"/>
              </w:rPr>
              <w:t>国家</w:t>
            </w:r>
            <w:r>
              <w:rPr>
                <w:rFonts w:ascii="宋体" w:hAnsi="宋体"/>
                <w:b/>
                <w:sz w:val="21"/>
                <w:szCs w:val="21"/>
                <w:highlight w:val="none"/>
              </w:rPr>
              <w:t>/</w:t>
            </w:r>
            <w:r>
              <w:rPr>
                <w:rFonts w:hint="eastAsia" w:ascii="宋体" w:hAnsi="宋体"/>
                <w:b/>
                <w:sz w:val="21"/>
                <w:szCs w:val="21"/>
                <w:highlight w:val="none"/>
              </w:rPr>
              <w:t>地方环保部门监测结果、新改扩建项目符合环评报告、三同时验收报告要求情况及措施</w:t>
            </w:r>
            <w:r>
              <w:rPr>
                <w:rFonts w:ascii="宋体" w:hAnsi="宋体"/>
                <w:b/>
                <w:sz w:val="21"/>
                <w:szCs w:val="21"/>
                <w:highlight w:val="none"/>
              </w:rPr>
              <w:t>(98</w:t>
            </w:r>
            <w:r>
              <w:rPr>
                <w:rFonts w:hint="eastAsia" w:ascii="宋体" w:hAnsi="宋体"/>
                <w:b/>
                <w:sz w:val="21"/>
                <w:szCs w:val="21"/>
                <w:highlight w:val="none"/>
              </w:rPr>
              <w:t>年后</w:t>
            </w:r>
            <w:r>
              <w:rPr>
                <w:rFonts w:ascii="宋体" w:hAnsi="宋体"/>
                <w:b/>
                <w:sz w:val="21"/>
                <w:szCs w:val="21"/>
                <w:highlight w:val="none"/>
              </w:rPr>
              <w:t xml:space="preserve">) </w:t>
            </w:r>
          </w:p>
          <w:p>
            <w:pPr>
              <w:spacing w:line="240" w:lineRule="exact"/>
              <w:rPr>
                <w:rFonts w:hint="default" w:ascii="宋体" w:hAnsi="宋体" w:eastAsia="宋体"/>
                <w:b/>
                <w:sz w:val="21"/>
                <w:szCs w:val="21"/>
                <w:highlight w:val="none"/>
                <w:lang w:val="en-US" w:eastAsia="zh-CN"/>
              </w:rPr>
            </w:pPr>
            <w:r>
              <w:rPr>
                <w:rFonts w:hint="eastAsia"/>
                <w:sz w:val="20"/>
                <w:szCs w:val="20"/>
                <w:highlight w:val="none"/>
                <w:lang w:val="en-US" w:eastAsia="zh-CN"/>
              </w:rPr>
              <w:t>环评建设报告及批复见附件。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920" w:type="dxa"/>
            <w:vMerge w:val="continue"/>
            <w:vAlign w:val="center"/>
          </w:tcPr>
          <w:p>
            <w:pPr>
              <w:spacing w:line="240" w:lineRule="exact"/>
              <w:jc w:val="center"/>
              <w:rPr>
                <w:b/>
                <w:sz w:val="20"/>
              </w:rPr>
            </w:pPr>
          </w:p>
        </w:tc>
        <w:tc>
          <w:tcPr>
            <w:tcW w:w="8998" w:type="dxa"/>
          </w:tcPr>
          <w:p>
            <w:pPr>
              <w:spacing w:line="240" w:lineRule="exact"/>
              <w:ind w:left="105" w:hanging="105" w:hangingChars="50"/>
              <w:rPr>
                <w:rFonts w:ascii="宋体" w:hAnsi="宋体"/>
                <w:b/>
                <w:sz w:val="21"/>
                <w:szCs w:val="21"/>
              </w:rPr>
            </w:pPr>
            <w:r>
              <w:rPr>
                <w:rFonts w:ascii="宋体" w:hAnsi="宋体"/>
                <w:b/>
                <w:sz w:val="21"/>
                <w:szCs w:val="21"/>
              </w:rPr>
              <w:t>7. OHSMS</w:t>
            </w:r>
            <w:r>
              <w:rPr>
                <w:rFonts w:hint="eastAsia" w:ascii="宋体" w:hAnsi="宋体"/>
                <w:b/>
                <w:sz w:val="21"/>
                <w:szCs w:val="21"/>
              </w:rPr>
              <w:t>是否按规定对职业健康安全项目进行定期测量，结果是否满足相关要求：</w:t>
            </w:r>
          </w:p>
          <w:p>
            <w:pPr>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jc w:val="center"/>
        </w:trPr>
        <w:tc>
          <w:tcPr>
            <w:tcW w:w="920" w:type="dxa"/>
            <w:vMerge w:val="continue"/>
            <w:vAlign w:val="center"/>
          </w:tcPr>
          <w:p>
            <w:pPr>
              <w:spacing w:line="240" w:lineRule="exact"/>
              <w:jc w:val="center"/>
              <w:rPr>
                <w:b/>
                <w:sz w:val="20"/>
              </w:rPr>
            </w:pPr>
          </w:p>
        </w:tc>
        <w:tc>
          <w:tcPr>
            <w:tcW w:w="8998" w:type="dxa"/>
          </w:tcPr>
          <w:p>
            <w:pPr>
              <w:spacing w:line="240" w:lineRule="exact"/>
              <w:rPr>
                <w:rFonts w:ascii="宋体" w:hAnsi="宋体"/>
                <w:b/>
                <w:sz w:val="21"/>
                <w:szCs w:val="21"/>
              </w:rPr>
            </w:pPr>
            <w:r>
              <w:rPr>
                <w:rFonts w:ascii="宋体" w:hAnsi="宋体"/>
                <w:b/>
                <w:sz w:val="21"/>
                <w:szCs w:val="21"/>
              </w:rPr>
              <w:t>8.OHSMS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地方职业健康安全部门监督检查情况及措施</w:t>
            </w:r>
          </w:p>
          <w:p>
            <w:pPr>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jc w:val="center"/>
        </w:trPr>
        <w:tc>
          <w:tcPr>
            <w:tcW w:w="920" w:type="dxa"/>
            <w:vMerge w:val="continue"/>
            <w:vAlign w:val="center"/>
          </w:tcPr>
          <w:p>
            <w:pPr>
              <w:spacing w:line="240" w:lineRule="exact"/>
              <w:jc w:val="center"/>
              <w:rPr>
                <w:b/>
                <w:sz w:val="20"/>
              </w:rPr>
            </w:pPr>
          </w:p>
        </w:tc>
        <w:tc>
          <w:tcPr>
            <w:tcW w:w="8998" w:type="dxa"/>
          </w:tcPr>
          <w:p>
            <w:pPr>
              <w:widowControl/>
              <w:numPr>
                <w:ilvl w:val="0"/>
                <w:numId w:val="3"/>
              </w:numPr>
              <w:spacing w:line="240" w:lineRule="exact"/>
              <w:ind w:left="0" w:leftChars="0" w:firstLine="0" w:firstLineChars="0"/>
              <w:rPr>
                <w:rFonts w:hint="eastAsia" w:ascii="宋体" w:hAnsi="宋体"/>
                <w:b/>
                <w:sz w:val="21"/>
                <w:szCs w:val="21"/>
              </w:rPr>
            </w:pPr>
            <w:r>
              <w:rPr>
                <w:rFonts w:hint="eastAsia" w:ascii="宋体" w:hAnsi="宋体"/>
                <w:b/>
                <w:sz w:val="21"/>
                <w:szCs w:val="21"/>
              </w:rPr>
              <w:t>其他能够标明组织绩效、信誉的证据</w:t>
            </w:r>
            <w:r>
              <w:rPr>
                <w:rFonts w:ascii="宋体" w:hAnsi="宋体"/>
                <w:b/>
                <w:sz w:val="21"/>
                <w:szCs w:val="21"/>
              </w:rPr>
              <w:t>/</w:t>
            </w:r>
            <w:r>
              <w:rPr>
                <w:rFonts w:hint="eastAsia" w:ascii="宋体" w:hAnsi="宋体"/>
                <w:b/>
                <w:sz w:val="21"/>
                <w:szCs w:val="21"/>
              </w:rPr>
              <w:t>信息：</w:t>
            </w:r>
          </w:p>
          <w:p>
            <w:pPr>
              <w:widowControl/>
              <w:numPr>
                <w:ilvl w:val="0"/>
                <w:numId w:val="0"/>
              </w:numPr>
              <w:spacing w:line="240" w:lineRule="exact"/>
              <w:ind w:leftChars="0"/>
              <w:rPr>
                <w:rFonts w:hint="default" w:ascii="宋体" w:hAnsi="宋体" w:eastAsia="宋体"/>
                <w:b/>
                <w:sz w:val="21"/>
                <w:szCs w:val="21"/>
                <w:lang w:val="en-US" w:eastAsia="zh-CN"/>
              </w:rPr>
            </w:pP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jc w:val="center"/>
        </w:trPr>
        <w:tc>
          <w:tcPr>
            <w:tcW w:w="920" w:type="dxa"/>
            <w:vMerge w:val="restart"/>
            <w:vAlign w:val="center"/>
          </w:tcPr>
          <w:p>
            <w:pPr>
              <w:spacing w:line="240" w:lineRule="exact"/>
              <w:ind w:left="113" w:right="113"/>
              <w:jc w:val="center"/>
              <w:rPr>
                <w:rFonts w:ascii="宋体" w:hAnsi="宋体"/>
                <w:b/>
                <w:szCs w:val="21"/>
              </w:rPr>
            </w:pPr>
            <w:r>
              <w:rPr>
                <w:rFonts w:hint="eastAsia" w:ascii="宋体" w:hAnsi="宋体"/>
                <w:b/>
                <w:szCs w:val="21"/>
              </w:rPr>
              <w:t>(五)持</w:t>
            </w:r>
          </w:p>
          <w:p>
            <w:pPr>
              <w:spacing w:line="240" w:lineRule="exact"/>
              <w:ind w:left="113" w:right="113"/>
              <w:jc w:val="center"/>
              <w:rPr>
                <w:rFonts w:ascii="宋体" w:hAnsi="宋体"/>
                <w:b/>
                <w:szCs w:val="21"/>
              </w:rPr>
            </w:pPr>
            <w:r>
              <w:rPr>
                <w:rFonts w:hint="eastAsia" w:ascii="宋体" w:hAnsi="宋体"/>
                <w:b/>
                <w:szCs w:val="21"/>
              </w:rPr>
              <w:t>续</w:t>
            </w:r>
          </w:p>
          <w:p>
            <w:pPr>
              <w:spacing w:line="240" w:lineRule="exact"/>
              <w:ind w:left="113" w:right="113"/>
              <w:jc w:val="center"/>
              <w:rPr>
                <w:rFonts w:ascii="宋体" w:hAnsi="宋体"/>
                <w:b/>
                <w:szCs w:val="21"/>
              </w:rPr>
            </w:pPr>
            <w:r>
              <w:rPr>
                <w:rFonts w:hint="eastAsia" w:ascii="宋体" w:hAnsi="宋体"/>
                <w:b/>
                <w:szCs w:val="21"/>
              </w:rPr>
              <w:t>改</w:t>
            </w:r>
          </w:p>
          <w:p>
            <w:pPr>
              <w:spacing w:line="240" w:lineRule="exact"/>
              <w:ind w:left="113" w:right="113"/>
              <w:jc w:val="center"/>
              <w:rPr>
                <w:b/>
                <w:sz w:val="20"/>
              </w:rPr>
            </w:pPr>
            <w:r>
              <w:rPr>
                <w:rFonts w:hint="eastAsia" w:ascii="宋体" w:hAnsi="宋体"/>
                <w:b/>
                <w:szCs w:val="21"/>
              </w:rPr>
              <w:t>进</w:t>
            </w:r>
          </w:p>
        </w:tc>
        <w:tc>
          <w:tcPr>
            <w:tcW w:w="8998" w:type="dxa"/>
          </w:tcPr>
          <w:p>
            <w:pPr>
              <w:spacing w:line="24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纠正措施的实施及效果</w:t>
            </w:r>
            <w:r>
              <w:rPr>
                <w:rFonts w:ascii="宋体" w:hAnsi="宋体"/>
                <w:b/>
                <w:sz w:val="21"/>
                <w:szCs w:val="21"/>
              </w:rPr>
              <w:t>;</w:t>
            </w:r>
          </w:p>
          <w:p>
            <w:pPr>
              <w:numPr>
                <w:ilvl w:val="0"/>
                <w:numId w:val="0"/>
              </w:numPr>
              <w:spacing w:line="240" w:lineRule="exact"/>
              <w:ind w:leftChars="-50" w:firstLine="400" w:firstLineChars="200"/>
              <w:rPr>
                <w:rFonts w:hint="eastAsia"/>
                <w:sz w:val="20"/>
                <w:szCs w:val="20"/>
                <w:highlight w:val="none"/>
              </w:rPr>
            </w:pPr>
            <w:r>
              <w:rPr>
                <w:rFonts w:hint="eastAsia"/>
                <w:sz w:val="20"/>
                <w:szCs w:val="20"/>
                <w:highlight w:val="none"/>
              </w:rPr>
              <w:t>公司明确通过对内、外审核结果、管理评审输出、监测和测量等活动中识别出在产品/服务、过程、管理体系等方面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纠正措施的有效性需要改善。</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atLeast"/>
          <w:jc w:val="center"/>
        </w:trPr>
        <w:tc>
          <w:tcPr>
            <w:tcW w:w="920" w:type="dxa"/>
            <w:vMerge w:val="continue"/>
            <w:vAlign w:val="center"/>
          </w:tcPr>
          <w:p>
            <w:pPr>
              <w:spacing w:line="240" w:lineRule="exact"/>
              <w:jc w:val="center"/>
              <w:rPr>
                <w:b/>
                <w:sz w:val="20"/>
              </w:rPr>
            </w:pPr>
          </w:p>
        </w:tc>
        <w:tc>
          <w:tcPr>
            <w:tcW w:w="8998" w:type="dxa"/>
          </w:tcPr>
          <w:p>
            <w:pPr>
              <w:spacing w:line="240" w:lineRule="exact"/>
              <w:rPr>
                <w:rFonts w:ascii="宋体" w:hAnsi="宋体"/>
                <w:b/>
                <w:sz w:val="21"/>
                <w:szCs w:val="21"/>
              </w:rPr>
            </w:pPr>
            <w:r>
              <w:rPr>
                <w:rFonts w:ascii="宋体" w:hAnsi="宋体"/>
                <w:b/>
                <w:sz w:val="21"/>
                <w:szCs w:val="21"/>
              </w:rPr>
              <w:t>2.</w:t>
            </w:r>
            <w:r>
              <w:rPr>
                <w:rFonts w:hint="eastAsia" w:ascii="宋体" w:hAnsi="宋体"/>
                <w:b/>
                <w:sz w:val="21"/>
                <w:szCs w:val="21"/>
              </w:rPr>
              <w:t>（上次审核后）重大事故、顾客</w:t>
            </w:r>
            <w:r>
              <w:rPr>
                <w:rFonts w:ascii="宋体" w:hAnsi="宋体"/>
                <w:b/>
                <w:sz w:val="21"/>
                <w:szCs w:val="21"/>
              </w:rPr>
              <w:t>/</w:t>
            </w:r>
            <w:r>
              <w:rPr>
                <w:rFonts w:hint="eastAsia" w:ascii="宋体" w:hAnsi="宋体"/>
                <w:b/>
                <w:sz w:val="21"/>
                <w:szCs w:val="21"/>
              </w:rPr>
              <w:t>相关方投诉：</w:t>
            </w:r>
          </w:p>
          <w:p>
            <w:pPr>
              <w:spacing w:line="240" w:lineRule="exact"/>
              <w:rPr>
                <w:rFonts w:hint="eastAsia" w:ascii="宋体" w:hAnsi="宋体" w:eastAsia="宋体"/>
                <w:b/>
                <w:sz w:val="21"/>
                <w:szCs w:val="21"/>
                <w:lang w:val="en-US" w:eastAsia="zh-CN"/>
              </w:rPr>
            </w:pPr>
            <w:r>
              <w:rPr>
                <w:rFonts w:hint="eastAsia"/>
                <w:sz w:val="20"/>
                <w:szCs w:val="20"/>
                <w:highlight w:val="none"/>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jc w:val="center"/>
        </w:trPr>
        <w:tc>
          <w:tcPr>
            <w:tcW w:w="920" w:type="dxa"/>
            <w:vMerge w:val="continue"/>
            <w:vAlign w:val="center"/>
          </w:tcPr>
          <w:p>
            <w:pPr>
              <w:spacing w:line="240" w:lineRule="exact"/>
              <w:jc w:val="center"/>
              <w:rPr>
                <w:b/>
                <w:sz w:val="20"/>
              </w:rPr>
            </w:pPr>
          </w:p>
        </w:tc>
        <w:tc>
          <w:tcPr>
            <w:tcW w:w="8998" w:type="dxa"/>
          </w:tcPr>
          <w:p>
            <w:pPr>
              <w:numPr>
                <w:ilvl w:val="0"/>
                <w:numId w:val="4"/>
              </w:numPr>
              <w:spacing w:line="240" w:lineRule="exact"/>
              <w:ind w:left="105" w:leftChars="0" w:hanging="105" w:hangingChars="50"/>
              <w:rPr>
                <w:rFonts w:hint="eastAsia" w:ascii="宋体" w:hAnsi="宋体"/>
                <w:b/>
                <w:sz w:val="21"/>
                <w:szCs w:val="21"/>
              </w:rPr>
            </w:pPr>
            <w:r>
              <w:rPr>
                <w:rFonts w:hint="eastAsia" w:ascii="宋体" w:hAnsi="宋体"/>
                <w:b/>
                <w:sz w:val="21"/>
                <w:szCs w:val="21"/>
              </w:rPr>
              <w:t>创新情况</w:t>
            </w:r>
          </w:p>
          <w:p>
            <w:pPr>
              <w:numPr>
                <w:ilvl w:val="0"/>
                <w:numId w:val="0"/>
              </w:numPr>
              <w:spacing w:line="240" w:lineRule="exact"/>
              <w:ind w:leftChars="-50"/>
              <w:rPr>
                <w:rFonts w:hint="eastAsia" w:ascii="宋体" w:hAnsi="宋体" w:eastAsia="宋体"/>
                <w:b/>
                <w:sz w:val="21"/>
                <w:szCs w:val="21"/>
                <w:lang w:val="en-US" w:eastAsia="zh-CN"/>
              </w:rPr>
            </w:pPr>
            <w:r>
              <w:rPr>
                <w:rFonts w:hint="eastAsia"/>
                <w:sz w:val="20"/>
                <w:szCs w:val="20"/>
                <w:highlight w:val="none"/>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8" w:hRule="atLeast"/>
          <w:jc w:val="center"/>
        </w:trPr>
        <w:tc>
          <w:tcPr>
            <w:tcW w:w="920" w:type="dxa"/>
            <w:vMerge w:val="continue"/>
            <w:vAlign w:val="center"/>
          </w:tcPr>
          <w:p>
            <w:pPr>
              <w:spacing w:line="240" w:lineRule="exact"/>
              <w:jc w:val="center"/>
              <w:rPr>
                <w:b/>
                <w:sz w:val="20"/>
              </w:rPr>
            </w:pPr>
          </w:p>
        </w:tc>
        <w:tc>
          <w:tcPr>
            <w:tcW w:w="8998" w:type="dxa"/>
          </w:tcPr>
          <w:p>
            <w:pPr>
              <w:numPr>
                <w:ilvl w:val="0"/>
                <w:numId w:val="4"/>
              </w:numPr>
              <w:spacing w:line="240" w:lineRule="exact"/>
              <w:ind w:left="105" w:leftChars="0" w:hanging="105" w:hangingChars="50"/>
              <w:rPr>
                <w:rFonts w:hint="eastAsia" w:ascii="宋体" w:hAnsi="宋体"/>
                <w:b/>
                <w:sz w:val="21"/>
                <w:szCs w:val="21"/>
              </w:rPr>
            </w:pPr>
            <w:r>
              <w:rPr>
                <w:rFonts w:hint="eastAsia" w:ascii="宋体" w:hAnsi="宋体"/>
                <w:b/>
                <w:sz w:val="21"/>
                <w:szCs w:val="21"/>
              </w:rPr>
              <w:t>上次不符合的整改情况</w:t>
            </w:r>
          </w:p>
          <w:p>
            <w:pPr>
              <w:numPr>
                <w:ilvl w:val="0"/>
                <w:numId w:val="0"/>
              </w:numPr>
              <w:spacing w:line="240" w:lineRule="exact"/>
              <w:ind w:leftChars="-50" w:firstLine="400" w:firstLineChars="200"/>
              <w:rPr>
                <w:rFonts w:hint="default"/>
                <w:sz w:val="20"/>
                <w:szCs w:val="20"/>
                <w:highlight w:val="none"/>
                <w:lang w:val="en-US" w:eastAsia="zh-CN"/>
              </w:rPr>
            </w:pPr>
            <w:r>
              <w:rPr>
                <w:rFonts w:hint="eastAsia"/>
                <w:sz w:val="20"/>
                <w:szCs w:val="20"/>
                <w:highlight w:val="none"/>
                <w:lang w:val="en-US" w:eastAsia="zh-CN"/>
              </w:rPr>
              <w:t>上次不符合为生产技术部不符合E8.2条款，经本次验证未出现类视情况。</w:t>
            </w:r>
          </w:p>
          <w:p>
            <w:pPr>
              <w:numPr>
                <w:ilvl w:val="0"/>
                <w:numId w:val="0"/>
              </w:numPr>
              <w:spacing w:line="240" w:lineRule="exact"/>
              <w:ind w:leftChars="-50"/>
              <w:rPr>
                <w:rFonts w:hint="eastAsia" w:ascii="宋体" w:hAnsi="宋体"/>
                <w:b/>
                <w:sz w:val="21"/>
                <w:szCs w:val="21"/>
              </w:rPr>
            </w:pPr>
          </w:p>
        </w:tc>
      </w:tr>
    </w:tbl>
    <w:p>
      <w:pPr>
        <w:tabs>
          <w:tab w:val="left" w:pos="645"/>
        </w:tabs>
        <w:spacing w:after="163" w:afterLines="50" w:line="360" w:lineRule="exact"/>
        <w:rPr>
          <w:b/>
          <w:sz w:val="26"/>
          <w:szCs w:val="26"/>
        </w:rPr>
      </w:pPr>
    </w:p>
    <w:p>
      <w:pPr>
        <w:tabs>
          <w:tab w:val="left" w:pos="645"/>
        </w:tabs>
        <w:spacing w:after="163" w:afterLines="50" w:line="360" w:lineRule="exact"/>
        <w:rPr>
          <w:b/>
          <w:sz w:val="16"/>
          <w:szCs w:val="16"/>
        </w:rPr>
      </w:pPr>
      <w:r>
        <w:rPr>
          <w:rFonts w:hint="eastAsia"/>
          <w:b/>
          <w:sz w:val="26"/>
          <w:szCs w:val="26"/>
        </w:rPr>
        <w:t>七、其它需要说明的问题</w:t>
      </w:r>
    </w:p>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可能影响本次审核结论可靠性的因素：</w:t>
      </w:r>
    </w:p>
    <w:tbl>
      <w:tblPr>
        <w:tblStyle w:val="5"/>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ind w:left="-211" w:leftChars="-88" w:firstLine="493" w:firstLineChars="223"/>
        <w:rPr>
          <w:b/>
          <w:spacing w:val="-10"/>
          <w:szCs w:val="21"/>
        </w:rPr>
      </w:pPr>
    </w:p>
    <w:p>
      <w:pPr>
        <w:snapToGrid w:val="0"/>
        <w:spacing w:line="360" w:lineRule="auto"/>
        <w:ind w:left="-211" w:leftChars="-88" w:firstLine="493" w:firstLineChars="223"/>
        <w:rPr>
          <w:rFonts w:ascii="宋体"/>
          <w:b/>
          <w:szCs w:val="21"/>
        </w:rPr>
      </w:pPr>
      <w:r>
        <w:rPr>
          <w:rFonts w:hint="eastAsia"/>
          <w:b/>
          <w:spacing w:val="-10"/>
          <w:szCs w:val="21"/>
        </w:rPr>
        <w:sym w:font="Wingdings 2" w:char="0052"/>
      </w:r>
      <w:r>
        <w:rPr>
          <w:rFonts w:hint="eastAsia" w:ascii="宋体" w:hAnsi="宋体"/>
          <w:b/>
          <w:szCs w:val="21"/>
        </w:rPr>
        <w:t>达到审核目的</w:t>
      </w:r>
    </w:p>
    <w:p>
      <w:pPr>
        <w:snapToGrid w:val="0"/>
        <w:spacing w:line="360" w:lineRule="auto"/>
        <w:ind w:left="-211" w:leftChars="-88" w:firstLine="493" w:firstLineChars="223"/>
        <w:rPr>
          <w:rFonts w:ascii="宋体"/>
          <w:b/>
          <w:szCs w:val="21"/>
        </w:rPr>
      </w:pPr>
      <w:r>
        <w:rPr>
          <w:rFonts w:hint="eastAsia"/>
          <w:b/>
          <w:spacing w:val="-10"/>
          <w:szCs w:val="21"/>
        </w:rPr>
        <w:t>□未</w:t>
      </w:r>
      <w:r>
        <w:rPr>
          <w:rFonts w:hint="eastAsia" w:ascii="宋体" w:hAnsi="宋体"/>
          <w:b/>
          <w:szCs w:val="21"/>
        </w:rPr>
        <w:t>达到审核目的，未达到目的的原因是：</w:t>
      </w:r>
    </w:p>
    <w:p>
      <w:pPr>
        <w:tabs>
          <w:tab w:val="left" w:pos="645"/>
        </w:tabs>
        <w:spacing w:before="163" w:beforeLines="50" w:after="163" w:afterLines="50" w:line="360" w:lineRule="exact"/>
        <w:rPr>
          <w:b/>
          <w:sz w:val="16"/>
          <w:szCs w:val="16"/>
        </w:rPr>
      </w:pPr>
      <w:r>
        <w:rPr>
          <w:rFonts w:hint="eastAsia"/>
          <w:b/>
          <w:sz w:val="26"/>
          <w:szCs w:val="26"/>
        </w:rPr>
        <w:t>八、本次审核不符合项</w:t>
      </w:r>
    </w:p>
    <w:p>
      <w:pPr>
        <w:spacing w:line="400" w:lineRule="exact"/>
        <w:ind w:left="420" w:leftChars="175" w:firstLine="101" w:firstLineChars="42"/>
        <w:rPr>
          <w:rFonts w:ascii="宋体" w:hAnsi="宋体"/>
          <w:b/>
          <w:szCs w:val="21"/>
        </w:rPr>
      </w:pPr>
      <w:r>
        <w:rPr>
          <w:rFonts w:hint="eastAsia" w:ascii="宋体" w:hAnsi="宋体"/>
          <w:b/>
          <w:szCs w:val="21"/>
        </w:rPr>
        <w:t>本次审核共开具不符合项报告</w:t>
      </w:r>
      <w:r>
        <w:rPr>
          <w:rFonts w:hint="eastAsia" w:ascii="宋体" w:hAnsi="宋体"/>
          <w:b/>
          <w:szCs w:val="21"/>
          <w:lang w:val="en-US" w:eastAsia="zh-CN"/>
        </w:rPr>
        <w:t>1</w:t>
      </w:r>
      <w:r>
        <w:rPr>
          <w:rFonts w:hint="eastAsia" w:ascii="宋体" w:hAnsi="宋体"/>
          <w:b/>
          <w:szCs w:val="21"/>
        </w:rPr>
        <w:t>项；其中</w:t>
      </w:r>
      <w:r>
        <w:rPr>
          <w:rFonts w:ascii="宋体" w:hAnsi="宋体"/>
          <w:b/>
          <w:szCs w:val="21"/>
        </w:rPr>
        <w:pict>
          <v:line id="直接连接符 1" o:spid="_x0000_s1028" o:spt="20" style="position:absolute;left:0pt;margin-left:210pt;margin-top:16.2pt;height:0pt;width:0.05pt;z-index:251658240;mso-width-relative:page;mso-height-relative:page;" coordsize="21600,21600" o:allowincell="f">
            <v:path arrowok="t"/>
            <v:fill focussize="0,0"/>
            <v:stroke/>
            <v:imagedata o:title=""/>
            <o:lock v:ext="edit"/>
          </v:line>
        </w:pict>
      </w:r>
      <w:r>
        <w:rPr>
          <w:rFonts w:hint="eastAsia" w:ascii="宋体" w:hAnsi="宋体"/>
          <w:b/>
          <w:szCs w:val="21"/>
        </w:rPr>
        <w:t>严重不符合</w:t>
      </w:r>
      <w:r>
        <w:rPr>
          <w:rFonts w:hint="eastAsia" w:ascii="宋体" w:hAnsi="宋体"/>
          <w:b/>
          <w:szCs w:val="21"/>
          <w:lang w:val="en-US" w:eastAsia="zh-CN"/>
        </w:rPr>
        <w:t>0</w:t>
      </w:r>
      <w:r>
        <w:rPr>
          <w:rFonts w:hint="eastAsia" w:ascii="宋体" w:hAnsi="宋体"/>
          <w:b/>
          <w:szCs w:val="21"/>
        </w:rPr>
        <w:t>项，一般不符合</w:t>
      </w:r>
      <w:r>
        <w:rPr>
          <w:rFonts w:hint="eastAsia" w:ascii="宋体" w:hAnsi="宋体"/>
          <w:b/>
          <w:szCs w:val="21"/>
          <w:lang w:val="en-US" w:eastAsia="zh-CN"/>
        </w:rPr>
        <w:t>1</w:t>
      </w:r>
      <w:r>
        <w:rPr>
          <w:rFonts w:hint="eastAsia" w:ascii="宋体" w:hAnsi="宋体"/>
          <w:b/>
          <w:szCs w:val="21"/>
        </w:rPr>
        <w:t>项，观察项项分布在部门条款，见不符合项分布表。（</w:t>
      </w:r>
      <w:r>
        <w:rPr>
          <w:rFonts w:ascii="宋体" w:hAnsi="宋体"/>
          <w:b/>
          <w:szCs w:val="21"/>
        </w:rPr>
        <w:t>Q/J/E/S</w:t>
      </w:r>
      <w:r>
        <w:rPr>
          <w:rFonts w:hint="eastAsia" w:ascii="宋体" w:hAnsi="宋体"/>
          <w:b/>
          <w:szCs w:val="21"/>
        </w:rPr>
        <w:t>分开填写）</w:t>
      </w:r>
    </w:p>
    <w:p>
      <w:pPr>
        <w:tabs>
          <w:tab w:val="left" w:pos="645"/>
        </w:tabs>
        <w:spacing w:after="163" w:afterLines="50" w:line="360" w:lineRule="exact"/>
        <w:rPr>
          <w:b/>
          <w:sz w:val="16"/>
          <w:szCs w:val="16"/>
        </w:rPr>
      </w:pPr>
      <w:r>
        <w:rPr>
          <w:rFonts w:hint="eastAsia"/>
          <w:b/>
          <w:sz w:val="26"/>
          <w:szCs w:val="26"/>
        </w:rPr>
        <w:t>九、审核结论</w:t>
      </w:r>
    </w:p>
    <w:tbl>
      <w:tblPr>
        <w:tblStyle w:val="5"/>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vAlign w:val="center"/>
          </w:tcPr>
          <w:p>
            <w:pPr>
              <w:ind w:left="240" w:leftChars="100" w:firstLine="120" w:firstLineChars="50"/>
              <w:jc w:val="left"/>
              <w:rPr>
                <w:rFonts w:ascii="宋体" w:hAnsi="宋体"/>
                <w:b/>
                <w:szCs w:val="21"/>
              </w:rPr>
            </w:pPr>
            <w:r>
              <w:rPr>
                <w:rFonts w:ascii="宋体" w:hAnsi="宋体"/>
                <w:b/>
                <w:szCs w:val="21"/>
              </w:rPr>
              <w:t>1.</w:t>
            </w:r>
            <w:r>
              <w:rPr>
                <w:rFonts w:hint="eastAsia" w:ascii="宋体" w:hAnsi="宋体"/>
                <w:b/>
                <w:szCs w:val="21"/>
              </w:rPr>
              <w:sym w:font="Wingdings 2" w:char="0052"/>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rPr>
                <w:rFonts w:ascii="宋体" w:hAnsi="宋体"/>
                <w:b/>
                <w:szCs w:val="21"/>
              </w:rPr>
            </w:pPr>
            <w:r>
              <w:rPr>
                <w:rFonts w:hint="eastAsia" w:ascii="宋体" w:hAnsi="宋体"/>
                <w:b/>
                <w:szCs w:val="21"/>
              </w:rPr>
              <w:t>的适宜性、充分性、运行有效性，自我完善机制等，管理体系满足适用要求和实现预期结果的能力。</w:t>
            </w:r>
          </w:p>
          <w:p>
            <w:pPr>
              <w:spacing w:line="280" w:lineRule="exact"/>
              <w:ind w:left="331" w:leftChars="88" w:hanging="120" w:hangingChars="50"/>
              <w:rPr>
                <w:rFonts w:ascii="宋体" w:hAnsi="宋体"/>
                <w:b/>
                <w:szCs w:val="21"/>
              </w:rPr>
            </w:pPr>
            <w:r>
              <w:rPr>
                <w:rFonts w:ascii="宋体" w:hAnsi="宋体"/>
                <w:b/>
                <w:szCs w:val="21"/>
              </w:rPr>
              <w:t>(</w:t>
            </w:r>
            <w:r>
              <w:rPr>
                <w:rFonts w:hint="eastAsia" w:ascii="宋体" w:hAnsi="宋体"/>
                <w:b/>
                <w:szCs w:val="21"/>
              </w:rPr>
              <w:t>描述组织的管理体系在认证周期内持续对过程控制的情况，持续满足标准要求和目标方面的有效性，向顾客提供稳定、合格产品，满足适用的环境</w:t>
            </w:r>
            <w:r>
              <w:rPr>
                <w:rFonts w:ascii="宋体" w:hAnsi="宋体"/>
                <w:b/>
                <w:szCs w:val="21"/>
              </w:rPr>
              <w:t>/</w:t>
            </w:r>
            <w:r>
              <w:rPr>
                <w:rFonts w:hint="eastAsia" w:ascii="宋体" w:hAnsi="宋体"/>
                <w:b/>
                <w:szCs w:val="21"/>
              </w:rPr>
              <w:t>职业健康安全法规、防止污染、重大事故和持续改进而策划的活动的情况；扩大范围部分体系运行情况</w:t>
            </w:r>
            <w:r>
              <w:rPr>
                <w:rFonts w:ascii="宋体" w:hAnsi="宋体"/>
                <w:b/>
                <w:szCs w:val="21"/>
              </w:rPr>
              <w:t>)</w:t>
            </w:r>
          </w:p>
          <w:p>
            <w:pPr>
              <w:spacing w:line="280" w:lineRule="exact"/>
              <w:rPr>
                <w:rFonts w:ascii="宋体" w:hAnsi="宋体"/>
                <w:b/>
                <w:szCs w:val="21"/>
              </w:rPr>
            </w:pPr>
          </w:p>
          <w:p>
            <w:pPr>
              <w:spacing w:line="280" w:lineRule="exact"/>
              <w:rPr>
                <w:rFonts w:ascii="宋体" w:hAnsi="宋体"/>
                <w:b/>
                <w:szCs w:val="21"/>
              </w:rPr>
            </w:pPr>
          </w:p>
          <w:p>
            <w:pPr>
              <w:spacing w:line="24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tcPr>
          <w:p>
            <w:pPr>
              <w:spacing w:line="280" w:lineRule="exact"/>
              <w:rPr>
                <w:rFonts w:ascii="宋体" w:hAnsi="宋体"/>
                <w:b/>
                <w:szCs w:val="21"/>
              </w:rPr>
            </w:pPr>
            <w:r>
              <w:rPr>
                <w:rFonts w:ascii="宋体" w:hAnsi="宋体"/>
                <w:b/>
                <w:szCs w:val="21"/>
              </w:rPr>
              <w:t xml:space="preserve">2. </w:t>
            </w:r>
            <w:r>
              <w:rPr>
                <w:rFonts w:hint="eastAsia" w:ascii="宋体" w:hAnsi="宋体"/>
                <w:b/>
                <w:szCs w:val="21"/>
              </w:rPr>
              <w:t>审核组推荐意见：</w:t>
            </w:r>
          </w:p>
          <w:p>
            <w:pPr>
              <w:spacing w:line="280" w:lineRule="exact"/>
              <w:ind w:firstLine="361" w:firstLineChars="150"/>
              <w:rPr>
                <w:rFonts w:ascii="宋体" w:hAnsi="宋体"/>
                <w:b/>
                <w:szCs w:val="21"/>
              </w:rPr>
            </w:pP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sym w:font="Wingdings 2" w:char="0052"/>
            </w:r>
            <w:r>
              <w:rPr>
                <w:rFonts w:ascii="宋体" w:hAnsi="宋体"/>
                <w:b/>
                <w:szCs w:val="21"/>
              </w:rPr>
              <w:t>(</w:t>
            </w:r>
            <w:r>
              <w:rPr>
                <w:rFonts w:hint="eastAsia" w:ascii="宋体" w:hAnsi="宋体"/>
                <w:b/>
                <w:szCs w:val="21"/>
              </w:rPr>
              <w:t>在完成纠正措施后</w:t>
            </w:r>
            <w:r>
              <w:rPr>
                <w:rFonts w:ascii="宋体" w:hAnsi="宋体"/>
                <w:b/>
                <w:szCs w:val="21"/>
              </w:rPr>
              <w:t>)</w:t>
            </w:r>
            <w:r>
              <w:rPr>
                <w:rFonts w:hint="eastAsia" w:ascii="宋体" w:hAnsi="宋体"/>
                <w:b/>
                <w:szCs w:val="21"/>
              </w:rPr>
              <w:t>推荐保持（</w:t>
            </w:r>
            <w:r>
              <w:rPr>
                <w:rFonts w:hint="eastAsia" w:ascii="宋体" w:hAnsi="宋体"/>
                <w:b/>
                <w:szCs w:val="21"/>
              </w:rPr>
              <w:sym w:font="Wingdings 2" w:char="0052"/>
            </w:r>
            <w:r>
              <w:rPr>
                <w:rFonts w:ascii="宋体" w:hAnsi="宋体"/>
                <w:b/>
                <w:szCs w:val="21"/>
              </w:rPr>
              <w:t>QMS</w:t>
            </w:r>
            <w:r>
              <w:rPr>
                <w:rFonts w:hint="eastAsia" w:ascii="宋体" w:hAnsi="宋体"/>
                <w:b/>
                <w:szCs w:val="21"/>
              </w:rPr>
              <w:t>□50430</w:t>
            </w:r>
            <w:r>
              <w:rPr>
                <w:rFonts w:hint="eastAsia" w:ascii="宋体" w:hAnsi="宋体"/>
                <w:b/>
                <w:szCs w:val="21"/>
              </w:rPr>
              <w:sym w:font="Wingdings 2" w:char="0052"/>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□延期推荐（□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延期推荐、不推荐或缩小认证范围的说明</w:t>
            </w:r>
            <w:r>
              <w:rPr>
                <w:rFonts w:ascii="宋体" w:hAnsi="宋体"/>
                <w:b/>
                <w:szCs w:val="21"/>
              </w:rPr>
              <w:t>:</w:t>
            </w:r>
          </w:p>
          <w:p>
            <w:pPr>
              <w:spacing w:line="280" w:lineRule="exact"/>
              <w:ind w:firstLine="361" w:firstLineChars="150"/>
              <w:rPr>
                <w:rFonts w:ascii="宋体" w:hAnsi="宋体"/>
                <w:b/>
                <w:szCs w:val="21"/>
              </w:rPr>
            </w:pPr>
          </w:p>
          <w:p>
            <w:pPr>
              <w:spacing w:line="280" w:lineRule="exact"/>
              <w:ind w:firstLine="361" w:firstLineChars="150"/>
              <w:rPr>
                <w:rFonts w:ascii="宋体" w:hAnsi="宋体"/>
                <w:b/>
                <w:szCs w:val="21"/>
              </w:rPr>
            </w:pPr>
          </w:p>
          <w:p>
            <w:pPr>
              <w:spacing w:line="280" w:lineRule="exact"/>
              <w:ind w:firstLine="392" w:firstLineChars="150"/>
              <w:rPr>
                <w:b/>
                <w:sz w:val="26"/>
                <w:szCs w:val="26"/>
              </w:rPr>
            </w:pPr>
          </w:p>
        </w:tc>
      </w:tr>
    </w:tbl>
    <w:p>
      <w:pPr>
        <w:snapToGrid w:val="0"/>
        <w:spacing w:line="240" w:lineRule="exact"/>
        <w:rPr>
          <w:b/>
          <w:sz w:val="21"/>
          <w:szCs w:val="21"/>
        </w:rPr>
      </w:pPr>
    </w:p>
    <w:p>
      <w:pPr>
        <w:tabs>
          <w:tab w:val="left" w:pos="645"/>
        </w:tabs>
        <w:spacing w:after="163" w:afterLines="50" w:line="360" w:lineRule="exact"/>
        <w:rPr>
          <w:b/>
          <w:sz w:val="16"/>
          <w:szCs w:val="16"/>
        </w:rPr>
      </w:pPr>
      <w:r>
        <w:rPr>
          <w:rFonts w:hint="eastAsia"/>
          <w:b/>
          <w:sz w:val="26"/>
          <w:szCs w:val="26"/>
        </w:rPr>
        <w:t>十、不符合项纠正措施要求</w:t>
      </w:r>
    </w:p>
    <w:p>
      <w:pPr>
        <w:spacing w:line="360" w:lineRule="exact"/>
        <w:ind w:left="528" w:leftChars="220"/>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pPr>
        <w:spacing w:before="163" w:beforeLines="50" w:after="163" w:afterLines="50"/>
        <w:ind w:left="-122" w:leftChars="-51" w:firstLine="120" w:firstLineChars="46"/>
        <w:rPr>
          <w:b/>
          <w:color w:val="FF0000"/>
          <w:sz w:val="26"/>
          <w:szCs w:val="26"/>
        </w:rPr>
      </w:pPr>
      <w:r>
        <w:rPr>
          <w:rFonts w:hint="eastAsia"/>
          <w:b/>
          <w:sz w:val="26"/>
          <w:szCs w:val="26"/>
        </w:rPr>
        <w:t>十一、</w:t>
      </w:r>
      <w:r>
        <w:rPr>
          <w:rFonts w:hint="eastAsia" w:ascii="仿宋" w:hAnsi="仿宋" w:eastAsia="仿宋"/>
          <w:kern w:val="24"/>
          <w:sz w:val="28"/>
          <w:szCs w:val="28"/>
        </w:rPr>
        <w:t>任何影响审核方案的重要事项</w:t>
      </w:r>
      <w:r>
        <w:rPr>
          <w:rFonts w:hint="eastAsia"/>
          <w:b/>
          <w:sz w:val="26"/>
          <w:szCs w:val="26"/>
        </w:rPr>
        <w:t>：</w:t>
      </w:r>
    </w:p>
    <w:p>
      <w:pPr>
        <w:snapToGrid w:val="0"/>
        <w:spacing w:line="360" w:lineRule="exact"/>
        <w:rPr>
          <w:b/>
          <w:bCs/>
          <w:sz w:val="21"/>
          <w:szCs w:val="28"/>
        </w:rPr>
      </w:pPr>
    </w:p>
    <w:p>
      <w:pPr>
        <w:tabs>
          <w:tab w:val="left" w:pos="645"/>
        </w:tabs>
        <w:spacing w:after="163" w:afterLines="50" w:line="360" w:lineRule="exact"/>
        <w:rPr>
          <w:b/>
          <w:sz w:val="16"/>
          <w:szCs w:val="16"/>
        </w:rPr>
      </w:pPr>
      <w:r>
        <w:rPr>
          <w:rFonts w:hint="eastAsia"/>
          <w:b/>
          <w:sz w:val="26"/>
          <w:szCs w:val="26"/>
        </w:rPr>
        <w:t>十二、审核组签字</w:t>
      </w:r>
    </w:p>
    <w:p>
      <w:pPr>
        <w:ind w:left="783" w:hanging="783" w:hangingChars="300"/>
        <w:rPr>
          <w:rFonts w:hint="eastAsia"/>
          <w:b/>
          <w:bCs/>
          <w:sz w:val="26"/>
          <w:szCs w:val="26"/>
        </w:rPr>
      </w:pPr>
      <w:r>
        <w:rPr>
          <w:rFonts w:hint="eastAsia"/>
          <w:b/>
          <w:bCs/>
          <w:sz w:val="26"/>
          <w:szCs w:val="26"/>
        </w:rPr>
        <w:t>审核组组长（签名）：</w:t>
      </w:r>
    </w:p>
    <w:p>
      <w:pPr>
        <w:ind w:left="783" w:hanging="783" w:hangingChars="300"/>
        <w:rPr>
          <w:rFonts w:hint="eastAsia"/>
          <w:b/>
          <w:bCs/>
          <w:sz w:val="26"/>
          <w:szCs w:val="26"/>
        </w:rPr>
      </w:pPr>
      <w:r>
        <w:rPr>
          <w:rFonts w:hint="eastAsia"/>
          <w:b/>
          <w:bCs/>
          <w:sz w:val="26"/>
          <w:szCs w:val="26"/>
        </w:rPr>
        <w:t>审核组组员（签名）：</w:t>
      </w:r>
    </w:p>
    <w:p>
      <w:pPr>
        <w:ind w:left="783" w:hanging="783" w:hangingChars="300"/>
        <w:jc w:val="center"/>
        <w:rPr>
          <w:rFonts w:hint="eastAsia"/>
          <w:b/>
          <w:bCs/>
          <w:sz w:val="26"/>
          <w:szCs w:val="26"/>
        </w:rPr>
      </w:pPr>
      <w:r>
        <w:rPr>
          <w:rFonts w:hint="eastAsia"/>
          <w:b/>
          <w:bCs/>
          <w:sz w:val="26"/>
          <w:szCs w:val="26"/>
        </w:rPr>
        <w:t>日期：</w:t>
      </w:r>
    </w:p>
    <w:p>
      <w:pPr>
        <w:snapToGrid w:val="0"/>
        <w:spacing w:line="200" w:lineRule="exact"/>
        <w:ind w:firstLine="482" w:firstLineChars="300"/>
        <w:rPr>
          <w:b/>
          <w:sz w:val="16"/>
          <w:szCs w:val="16"/>
        </w:rPr>
      </w:pPr>
    </w:p>
    <w:p>
      <w:pPr>
        <w:tabs>
          <w:tab w:val="left" w:pos="645"/>
        </w:tabs>
        <w:spacing w:after="163" w:afterLines="50" w:line="360" w:lineRule="exact"/>
        <w:rPr>
          <w:b/>
          <w:bCs/>
          <w:sz w:val="16"/>
          <w:szCs w:val="16"/>
        </w:rPr>
      </w:pPr>
      <w:r>
        <w:rPr>
          <w:rFonts w:hint="eastAsia"/>
          <w:b/>
          <w:sz w:val="26"/>
          <w:szCs w:val="26"/>
        </w:rPr>
        <w:t>十三、纠正措施验证及结论</w:t>
      </w:r>
      <w:r>
        <w:rPr>
          <w:rFonts w:hint="eastAsia"/>
          <w:b/>
          <w:bCs/>
          <w:sz w:val="16"/>
          <w:szCs w:val="16"/>
        </w:rPr>
        <w:t>：</w:t>
      </w:r>
    </w:p>
    <w:p>
      <w:pPr>
        <w:spacing w:line="360" w:lineRule="exact"/>
        <w:ind w:firstLine="527" w:firstLineChars="250"/>
        <w:rPr>
          <w:b/>
          <w:bCs/>
          <w:sz w:val="21"/>
          <w:szCs w:val="21"/>
        </w:rPr>
      </w:pPr>
      <w:r>
        <w:rPr>
          <w:b/>
          <w:bCs/>
          <w:sz w:val="21"/>
          <w:szCs w:val="21"/>
        </w:rPr>
        <w:t>1.</w:t>
      </w:r>
      <w:r>
        <w:rPr>
          <w:rFonts w:hint="eastAsia"/>
          <w:b/>
          <w:bCs/>
          <w:sz w:val="21"/>
          <w:szCs w:val="21"/>
        </w:rPr>
        <w:t>审核中发现的</w:t>
      </w:r>
      <w:r>
        <w:rPr>
          <w:rFonts w:hint="eastAsia"/>
          <w:b/>
          <w:sz w:val="21"/>
          <w:szCs w:val="21"/>
        </w:rPr>
        <w:sym w:font="Wingdings 2" w:char="00A3"/>
      </w:r>
      <w:r>
        <w:rPr>
          <w:b/>
          <w:sz w:val="21"/>
          <w:szCs w:val="21"/>
        </w:rPr>
        <w:t>QMS (</w:t>
      </w:r>
      <w:r>
        <w:rPr>
          <w:rFonts w:hint="eastAsia"/>
          <w:b/>
          <w:sz w:val="21"/>
          <w:szCs w:val="21"/>
          <w:lang w:val="en-US" w:eastAsia="zh-CN"/>
        </w:rPr>
        <w:t xml:space="preserve">  </w:t>
      </w:r>
      <w:r>
        <w:rPr>
          <w:b/>
          <w:sz w:val="21"/>
          <w:szCs w:val="21"/>
        </w:rPr>
        <w:t>)</w:t>
      </w:r>
      <w:r>
        <w:rPr>
          <w:rFonts w:hint="eastAsia"/>
          <w:b/>
          <w:sz w:val="21"/>
          <w:szCs w:val="21"/>
        </w:rPr>
        <w:t>个一般不符合，</w:t>
      </w:r>
      <w:r>
        <w:rPr>
          <w:b/>
          <w:sz w:val="21"/>
          <w:szCs w:val="21"/>
        </w:rPr>
        <w:t>(</w:t>
      </w:r>
      <w:r>
        <w:rPr>
          <w:rFonts w:hint="eastAsia"/>
          <w:b/>
          <w:sz w:val="21"/>
          <w:szCs w:val="21"/>
          <w:lang w:val="en-US" w:eastAsia="zh-CN"/>
        </w:rPr>
        <w:t xml:space="preserve">  </w:t>
      </w:r>
      <w:r>
        <w:rPr>
          <w:b/>
          <w:sz w:val="21"/>
          <w:szCs w:val="21"/>
        </w:rPr>
        <w:t>)</w:t>
      </w:r>
      <w:r>
        <w:rPr>
          <w:rFonts w:hint="eastAsia"/>
          <w:b/>
          <w:sz w:val="21"/>
          <w:szCs w:val="21"/>
        </w:rPr>
        <w:t>个严重不符合，□验证合格□仍有问题</w:t>
      </w:r>
    </w:p>
    <w:p>
      <w:pPr>
        <w:spacing w:line="360" w:lineRule="exact"/>
        <w:ind w:firstLine="843" w:firstLineChars="400"/>
        <w:rPr>
          <w:b/>
          <w:bCs/>
          <w:sz w:val="21"/>
          <w:szCs w:val="21"/>
        </w:rPr>
      </w:pPr>
      <w:r>
        <w:rPr>
          <w:rFonts w:hint="eastAsia"/>
          <w:b/>
          <w:bCs/>
          <w:sz w:val="21"/>
          <w:szCs w:val="21"/>
        </w:rPr>
        <w:t>审核中发现的□50430 (    )个一般不符合，(    )个严重不符合，□验证合格□仍有问题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EMS (</w:t>
      </w:r>
      <w:r>
        <w:rPr>
          <w:rFonts w:hint="eastAsia"/>
          <w:b/>
          <w:sz w:val="21"/>
          <w:szCs w:val="21"/>
          <w:lang w:val="en-US" w:eastAsia="zh-CN"/>
        </w:rPr>
        <w:t xml:space="preserve">  </w:t>
      </w:r>
      <w:r>
        <w:rPr>
          <w:b/>
          <w:sz w:val="21"/>
          <w:szCs w:val="21"/>
        </w:rPr>
        <w:t>)</w:t>
      </w:r>
      <w:r>
        <w:rPr>
          <w:rFonts w:hint="eastAsia"/>
          <w:b/>
          <w:sz w:val="21"/>
          <w:szCs w:val="21"/>
        </w:rPr>
        <w:t>个一般不符合，</w:t>
      </w:r>
      <w:r>
        <w:rPr>
          <w:b/>
          <w:sz w:val="21"/>
          <w:szCs w:val="21"/>
        </w:rPr>
        <w:t xml:space="preserve">( </w:t>
      </w:r>
      <w:r>
        <w:rPr>
          <w:rFonts w:hint="eastAsia"/>
          <w:b/>
          <w:sz w:val="21"/>
          <w:szCs w:val="21"/>
          <w:lang w:val="en-US" w:eastAsia="zh-CN"/>
        </w:rPr>
        <w:t xml:space="preserve">  </w:t>
      </w:r>
      <w:r>
        <w:rPr>
          <w:b/>
          <w:sz w:val="21"/>
          <w:szCs w:val="21"/>
        </w:rPr>
        <w:t>)</w:t>
      </w:r>
      <w:r>
        <w:rPr>
          <w:rFonts w:hint="eastAsia"/>
          <w:b/>
          <w:sz w:val="21"/>
          <w:szCs w:val="21"/>
        </w:rPr>
        <w:t>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OHSMS (    )</w:t>
      </w:r>
      <w:r>
        <w:rPr>
          <w:rFonts w:hint="eastAsia"/>
          <w:b/>
          <w:sz w:val="21"/>
          <w:szCs w:val="21"/>
        </w:rPr>
        <w:t>个一般不符合，</w:t>
      </w:r>
      <w:r>
        <w:rPr>
          <w:b/>
          <w:sz w:val="21"/>
          <w:szCs w:val="21"/>
        </w:rPr>
        <w:t>(    )</w:t>
      </w:r>
      <w:r>
        <w:rPr>
          <w:rFonts w:hint="eastAsia"/>
          <w:b/>
          <w:sz w:val="21"/>
          <w:szCs w:val="21"/>
        </w:rPr>
        <w:t>个严重不符合，□验证合格□仍有问题</w:t>
      </w:r>
      <w:r>
        <w:rPr>
          <w:rFonts w:hint="eastAsia"/>
          <w:b/>
          <w:bCs/>
          <w:sz w:val="21"/>
          <w:szCs w:val="21"/>
        </w:rPr>
        <w:t>审</w:t>
      </w:r>
    </w:p>
    <w:p>
      <w:pPr>
        <w:spacing w:line="360" w:lineRule="exact"/>
        <w:ind w:firstLine="843" w:firstLineChars="400"/>
        <w:rPr>
          <w:b/>
          <w:sz w:val="21"/>
          <w:szCs w:val="21"/>
        </w:rPr>
      </w:pPr>
    </w:p>
    <w:p>
      <w:pPr>
        <w:spacing w:before="163" w:beforeLines="50" w:line="400" w:lineRule="exact"/>
        <w:rPr>
          <w:b/>
          <w:sz w:val="21"/>
          <w:szCs w:val="21"/>
          <w:u w:val="single"/>
        </w:rPr>
      </w:pPr>
      <w:r>
        <w:rPr>
          <w:rFonts w:hint="eastAsia"/>
          <w:b/>
          <w:sz w:val="21"/>
          <w:szCs w:val="21"/>
        </w:rPr>
        <w:t>存在问题说明及意见：</w:t>
      </w:r>
    </w:p>
    <w:p>
      <w:pPr>
        <w:spacing w:line="400" w:lineRule="exact"/>
        <w:rPr>
          <w:b/>
          <w:sz w:val="21"/>
          <w:szCs w:val="21"/>
          <w:u w:val="single"/>
        </w:rPr>
      </w:pPr>
    </w:p>
    <w:p>
      <w:pPr>
        <w:spacing w:before="163" w:beforeLines="50"/>
        <w:ind w:firstLine="632" w:firstLineChars="300"/>
        <w:rPr>
          <w:b/>
          <w:sz w:val="21"/>
          <w:szCs w:val="21"/>
        </w:rPr>
      </w:pPr>
      <w:r>
        <w:rPr>
          <w:b/>
          <w:sz w:val="21"/>
          <w:szCs w:val="21"/>
        </w:rPr>
        <w:t>2.</w:t>
      </w:r>
      <w:r>
        <w:rPr>
          <w:rFonts w:hint="eastAsia"/>
          <w:b/>
          <w:sz w:val="21"/>
          <w:szCs w:val="21"/>
        </w:rPr>
        <w:t>验证结论：</w:t>
      </w:r>
    </w:p>
    <w:p>
      <w:pPr>
        <w:tabs>
          <w:tab w:val="left" w:pos="6880"/>
          <w:tab w:val="left" w:pos="7740"/>
          <w:tab w:val="left" w:pos="8385"/>
        </w:tabs>
        <w:snapToGrid w:val="0"/>
        <w:spacing w:before="163" w:beforeLines="50"/>
        <w:ind w:firstLine="1717" w:firstLineChars="900"/>
        <w:rPr>
          <w:b/>
          <w:sz w:val="21"/>
          <w:szCs w:val="21"/>
        </w:rPr>
      </w:pPr>
      <w:r>
        <w:rPr>
          <w:rFonts w:hint="eastAsia"/>
          <w:b/>
          <w:spacing w:val="-10"/>
          <w:sz w:val="21"/>
          <w:szCs w:val="21"/>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pPr>
        <w:tabs>
          <w:tab w:val="left" w:pos="6880"/>
          <w:tab w:val="left" w:pos="7740"/>
          <w:tab w:val="left" w:pos="8385"/>
        </w:tabs>
        <w:snapToGrid w:val="0"/>
        <w:spacing w:before="163" w:beforeLines="50"/>
        <w:ind w:firstLine="723" w:firstLineChars="343"/>
        <w:rPr>
          <w:b/>
          <w:sz w:val="21"/>
          <w:szCs w:val="21"/>
          <w:u w:val="single"/>
        </w:rPr>
      </w:pPr>
      <w:r>
        <w:rPr>
          <w:rFonts w:hint="eastAsia"/>
          <w:b/>
          <w:sz w:val="21"/>
          <w:szCs w:val="21"/>
        </w:rPr>
        <w:t>组长签字：</w:t>
      </w:r>
    </w:p>
    <w:p>
      <w:pPr>
        <w:ind w:left="783" w:hanging="783" w:hangingChars="300"/>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rPr>
          <w:b/>
          <w:sz w:val="21"/>
          <w:u w:val="single"/>
        </w:rPr>
      </w:pPr>
    </w:p>
    <w:p>
      <w:pPr>
        <w:spacing w:line="360" w:lineRule="auto"/>
        <w:rPr>
          <w:b/>
          <w:sz w:val="26"/>
          <w:szCs w:val="26"/>
        </w:rPr>
      </w:pPr>
      <w:r>
        <w:rPr>
          <w:rFonts w:hint="eastAsia"/>
          <w:b/>
          <w:sz w:val="26"/>
          <w:szCs w:val="26"/>
        </w:rPr>
        <w:t>十五、认证评定与批准</w:t>
      </w:r>
    </w:p>
    <w:p>
      <w:pPr>
        <w:numPr>
          <w:ilvl w:val="0"/>
          <w:numId w:val="6"/>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pPr>
        <w:spacing w:line="360" w:lineRule="auto"/>
        <w:ind w:left="600"/>
        <w:rPr>
          <w:b/>
          <w:szCs w:val="24"/>
        </w:rPr>
      </w:pPr>
      <w:r>
        <w:rPr>
          <w:rFonts w:hint="eastAsia"/>
          <w:b/>
          <w:szCs w:val="24"/>
        </w:rPr>
        <w:t>认证评定负责人：</w:t>
      </w:r>
      <w:r>
        <w:rPr>
          <w:rFonts w:hint="eastAsia"/>
          <w:b/>
          <w:szCs w:val="24"/>
          <w:lang w:val="en-US" w:eastAsia="zh-CN"/>
        </w:rPr>
        <w:t xml:space="preserve">                     </w:t>
      </w:r>
      <w:r>
        <w:rPr>
          <w:rFonts w:hint="eastAsia"/>
          <w:b/>
          <w:szCs w:val="24"/>
        </w:rPr>
        <w:t>日期：</w:t>
      </w:r>
      <w:r>
        <w:rPr>
          <w:rFonts w:hint="eastAsia"/>
          <w:b/>
          <w:szCs w:val="24"/>
          <w:lang w:val="en-US" w:eastAsia="zh-CN"/>
        </w:rPr>
        <w:t xml:space="preserve">     </w:t>
      </w:r>
      <w:r>
        <w:rPr>
          <w:rFonts w:hint="eastAsia"/>
          <w:b/>
          <w:szCs w:val="24"/>
        </w:rPr>
        <w:t>年</w:t>
      </w:r>
      <w:r>
        <w:rPr>
          <w:rFonts w:hint="eastAsia"/>
          <w:b/>
          <w:szCs w:val="24"/>
          <w:lang w:val="en-US" w:eastAsia="zh-CN"/>
        </w:rPr>
        <w:t xml:space="preserve">   </w:t>
      </w:r>
      <w:r>
        <w:rPr>
          <w:rFonts w:hint="eastAsia"/>
          <w:b/>
          <w:szCs w:val="24"/>
        </w:rPr>
        <w:t>月</w:t>
      </w:r>
      <w:r>
        <w:rPr>
          <w:rFonts w:hint="eastAsia"/>
          <w:b/>
          <w:szCs w:val="24"/>
          <w:lang w:val="en-US" w:eastAsia="zh-CN"/>
        </w:rPr>
        <w:t xml:space="preserve">   </w:t>
      </w:r>
      <w:r>
        <w:rPr>
          <w:rFonts w:hint="eastAsia"/>
          <w:b/>
          <w:szCs w:val="24"/>
        </w:rPr>
        <w:t>日</w:t>
      </w:r>
    </w:p>
    <w:p>
      <w:pPr>
        <w:numPr>
          <w:ilvl w:val="0"/>
          <w:numId w:val="6"/>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pPr>
        <w:spacing w:line="360" w:lineRule="auto"/>
        <w:ind w:left="600"/>
        <w:rPr>
          <w:b/>
          <w:szCs w:val="24"/>
        </w:rPr>
      </w:pPr>
      <w:r>
        <w:rPr>
          <w:rFonts w:hint="eastAsia"/>
          <w:b/>
          <w:szCs w:val="24"/>
        </w:rPr>
        <w:t>批准人（总经理）：</w:t>
      </w:r>
      <w:r>
        <w:rPr>
          <w:rFonts w:hint="eastAsia"/>
          <w:b/>
          <w:szCs w:val="24"/>
          <w:lang w:val="en-US" w:eastAsia="zh-CN"/>
        </w:rPr>
        <w:t xml:space="preserve">                    </w:t>
      </w:r>
      <w:r>
        <w:rPr>
          <w:rFonts w:hint="eastAsia"/>
          <w:b/>
          <w:szCs w:val="24"/>
        </w:rPr>
        <w:t>日期：</w:t>
      </w:r>
      <w:r>
        <w:rPr>
          <w:rFonts w:hint="eastAsia"/>
          <w:b/>
          <w:szCs w:val="24"/>
          <w:lang w:val="en-US" w:eastAsia="zh-CN"/>
        </w:rPr>
        <w:t xml:space="preserve">     </w:t>
      </w:r>
      <w:r>
        <w:rPr>
          <w:rFonts w:hint="eastAsia"/>
          <w:b/>
          <w:szCs w:val="24"/>
        </w:rPr>
        <w:t>年</w:t>
      </w:r>
      <w:r>
        <w:rPr>
          <w:rFonts w:hint="eastAsia"/>
          <w:b/>
          <w:szCs w:val="24"/>
          <w:lang w:val="en-US" w:eastAsia="zh-CN"/>
        </w:rPr>
        <w:t xml:space="preserve">   </w:t>
      </w:r>
      <w:r>
        <w:rPr>
          <w:rFonts w:hint="eastAsia"/>
          <w:b/>
          <w:szCs w:val="24"/>
        </w:rPr>
        <w:t>月</w:t>
      </w:r>
      <w:r>
        <w:rPr>
          <w:rFonts w:hint="eastAsia"/>
          <w:b/>
          <w:szCs w:val="24"/>
          <w:lang w:val="en-US" w:eastAsia="zh-CN"/>
        </w:rPr>
        <w:t xml:space="preserve">   </w:t>
      </w:r>
      <w:r>
        <w:rPr>
          <w:rFonts w:hint="eastAsia"/>
          <w:b/>
          <w:szCs w:val="24"/>
        </w:rPr>
        <w:t>日</w:t>
      </w:r>
    </w:p>
    <w:p>
      <w:pPr>
        <w:snapToGrid w:val="0"/>
        <w:spacing w:before="163" w:beforeLines="50" w:after="163" w:afterLines="50" w:line="360" w:lineRule="exact"/>
        <w:rPr>
          <w:b/>
          <w:sz w:val="26"/>
          <w:szCs w:val="26"/>
        </w:rPr>
      </w:pPr>
      <w:r>
        <w:rPr>
          <w:rFonts w:hint="eastAsia"/>
          <w:b/>
          <w:sz w:val="26"/>
          <w:szCs w:val="26"/>
        </w:rPr>
        <w:t>十六、审核报告的发放范围：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b/>
          <w:sz w:val="21"/>
        </w:rPr>
        <w:t>1</w:t>
      </w:r>
      <w:r>
        <w:rPr>
          <w:rFonts w:hint="eastAsia"/>
          <w:b/>
          <w:sz w:val="21"/>
        </w:rPr>
        <w:t>份</w:t>
      </w:r>
    </w:p>
    <w:p>
      <w:pPr>
        <w:snapToGrid w:val="0"/>
        <w:spacing w:before="163" w:beforeLines="50" w:after="163" w:afterLines="50" w:line="360" w:lineRule="exact"/>
        <w:rPr>
          <w:rFonts w:ascii="宋体"/>
          <w:b/>
          <w:sz w:val="16"/>
          <w:szCs w:val="16"/>
        </w:rPr>
      </w:pPr>
      <w:r>
        <w:rPr>
          <w:rFonts w:hint="eastAsia"/>
          <w:b/>
          <w:sz w:val="26"/>
          <w:szCs w:val="26"/>
        </w:rPr>
        <w:t>十七、</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163" w:beforeLines="50" w:after="163" w:afterLines="50" w:line="360" w:lineRule="exact"/>
        <w:rPr>
          <w:rFonts w:ascii="宋体"/>
          <w:b/>
          <w:sz w:val="26"/>
          <w:szCs w:val="26"/>
        </w:rPr>
      </w:pPr>
      <w:r>
        <w:rPr>
          <w:rFonts w:hint="eastAsia" w:ascii="宋体" w:hAnsi="宋体"/>
          <w:b/>
          <w:sz w:val="26"/>
          <w:szCs w:val="26"/>
        </w:rPr>
        <w:t>十八、填表说明：</w:t>
      </w:r>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ascii="方正仿宋简体" w:eastAsia="方正仿宋简体"/>
          <w:b/>
        </w:rPr>
      </w:pPr>
      <w:r>
        <w:rPr>
          <w:rFonts w:hint="eastAsia" w:ascii="方正仿宋简体" w:eastAsia="方正仿宋简体"/>
          <w:b/>
        </w:rPr>
        <w:t>十九、</w:t>
      </w:r>
      <w:r>
        <w:rPr>
          <w:rFonts w:hint="eastAsia" w:ascii="仿宋" w:hAnsi="仿宋" w:eastAsia="仿宋"/>
          <w:kern w:val="24"/>
          <w:sz w:val="28"/>
          <w:szCs w:val="28"/>
        </w:rPr>
        <w:t>审核基于对可获得信息的抽样过程的免责声明</w:t>
      </w:r>
      <w:r>
        <w:rPr>
          <w:rFonts w:hint="eastAsia" w:ascii="方正仿宋简体" w:eastAsia="方正仿宋简体"/>
          <w:b/>
        </w:rPr>
        <w:t>：</w:t>
      </w:r>
    </w:p>
    <w:p>
      <w:pPr>
        <w:snapToGrid w:val="0"/>
        <w:ind w:firstLine="354" w:firstLineChars="147"/>
        <w:jc w:val="left"/>
        <w:rPr>
          <w:rFonts w:ascii="方正仿宋简体" w:eastAsia="方正仿宋简体"/>
          <w:b/>
        </w:rPr>
      </w:pPr>
    </w:p>
    <w:p>
      <w:pPr>
        <w:snapToGrid w:val="0"/>
        <w:ind w:firstLine="354" w:firstLineChars="147"/>
        <w:jc w:val="left"/>
        <w:rPr>
          <w:b/>
          <w:szCs w:val="24"/>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Helvetica">
    <w:altName w:val="Arial"/>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 w:name="Arial">
    <w:panose1 w:val="020B0604020202020204"/>
    <w:charset w:val="00"/>
    <w:family w:val="auto"/>
    <w:pitch w:val="default"/>
    <w:sig w:usb0="E0002EFF" w:usb1="C000785B" w:usb2="00000009" w:usb3="00000000" w:csb0="4000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4"/>
        <w:rFonts w:hint="default"/>
      </w:rPr>
    </w:pPr>
    <w:r>
      <w:pict>
        <v:shape id="_x0000_s2049"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r>
      <w:pict>
        <v:shape id="文本框 1" o:spid="_x0000_s2050"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4"/>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9743056"/>
    <w:multiLevelType w:val="singleLevel"/>
    <w:tmpl w:val="C9743056"/>
    <w:lvl w:ilvl="0" w:tentative="0">
      <w:start w:val="2"/>
      <w:numFmt w:val="decimal"/>
      <w:lvlText w:val="%1."/>
      <w:lvlJc w:val="left"/>
      <w:pPr>
        <w:tabs>
          <w:tab w:val="left" w:pos="312"/>
        </w:tabs>
      </w:pPr>
    </w:lvl>
  </w:abstractNum>
  <w:abstractNum w:abstractNumId="1">
    <w:nsid w:val="00000001"/>
    <w:multiLevelType w:val="multilevel"/>
    <w:tmpl w:val="00000001"/>
    <w:lvl w:ilvl="0" w:tentative="0">
      <w:start w:val="1"/>
      <w:numFmt w:val="decimal"/>
      <w:lvlText w:val="%1．"/>
      <w:lvlJc w:val="left"/>
      <w:pPr>
        <w:tabs>
          <w:tab w:val="left" w:pos="960"/>
        </w:tabs>
        <w:ind w:left="960" w:hanging="360"/>
      </w:pPr>
      <w:rPr>
        <w:rFonts w:hint="default" w:cs="Times New Roman"/>
      </w:rPr>
    </w:lvl>
    <w:lvl w:ilvl="1" w:tentative="0">
      <w:start w:val="1"/>
      <w:numFmt w:val="lowerLetter"/>
      <w:lvlText w:val="%2)"/>
      <w:lvlJc w:val="left"/>
      <w:pPr>
        <w:tabs>
          <w:tab w:val="left" w:pos="1440"/>
        </w:tabs>
        <w:ind w:left="1440" w:hanging="420"/>
      </w:pPr>
      <w:rPr>
        <w:rFonts w:cs="Times New Roman"/>
      </w:rPr>
    </w:lvl>
    <w:lvl w:ilvl="2" w:tentative="0">
      <w:start w:val="1"/>
      <w:numFmt w:val="lowerRoman"/>
      <w:lvlText w:val="%3."/>
      <w:lvlJc w:val="right"/>
      <w:pPr>
        <w:tabs>
          <w:tab w:val="left" w:pos="1860"/>
        </w:tabs>
        <w:ind w:left="1860" w:hanging="420"/>
      </w:pPr>
      <w:rPr>
        <w:rFonts w:cs="Times New Roman"/>
      </w:rPr>
    </w:lvl>
    <w:lvl w:ilvl="3" w:tentative="0">
      <w:start w:val="1"/>
      <w:numFmt w:val="decimal"/>
      <w:lvlText w:val="%4."/>
      <w:lvlJc w:val="left"/>
      <w:pPr>
        <w:tabs>
          <w:tab w:val="left" w:pos="2280"/>
        </w:tabs>
        <w:ind w:left="2280" w:hanging="420"/>
      </w:pPr>
      <w:rPr>
        <w:rFonts w:cs="Times New Roman"/>
      </w:rPr>
    </w:lvl>
    <w:lvl w:ilvl="4" w:tentative="0">
      <w:start w:val="1"/>
      <w:numFmt w:val="lowerLetter"/>
      <w:lvlText w:val="%5)"/>
      <w:lvlJc w:val="left"/>
      <w:pPr>
        <w:tabs>
          <w:tab w:val="left" w:pos="2700"/>
        </w:tabs>
        <w:ind w:left="2700" w:hanging="420"/>
      </w:pPr>
      <w:rPr>
        <w:rFonts w:cs="Times New Roman"/>
      </w:rPr>
    </w:lvl>
    <w:lvl w:ilvl="5" w:tentative="0">
      <w:start w:val="1"/>
      <w:numFmt w:val="lowerRoman"/>
      <w:lvlText w:val="%6."/>
      <w:lvlJc w:val="right"/>
      <w:pPr>
        <w:tabs>
          <w:tab w:val="left" w:pos="3120"/>
        </w:tabs>
        <w:ind w:left="3120" w:hanging="420"/>
      </w:pPr>
      <w:rPr>
        <w:rFonts w:cs="Times New Roman"/>
      </w:rPr>
    </w:lvl>
    <w:lvl w:ilvl="6" w:tentative="0">
      <w:start w:val="1"/>
      <w:numFmt w:val="decimal"/>
      <w:lvlText w:val="%7."/>
      <w:lvlJc w:val="left"/>
      <w:pPr>
        <w:tabs>
          <w:tab w:val="left" w:pos="3540"/>
        </w:tabs>
        <w:ind w:left="3540" w:hanging="420"/>
      </w:pPr>
      <w:rPr>
        <w:rFonts w:cs="Times New Roman"/>
      </w:rPr>
    </w:lvl>
    <w:lvl w:ilvl="7" w:tentative="0">
      <w:start w:val="1"/>
      <w:numFmt w:val="lowerLetter"/>
      <w:lvlText w:val="%8)"/>
      <w:lvlJc w:val="left"/>
      <w:pPr>
        <w:tabs>
          <w:tab w:val="left" w:pos="3960"/>
        </w:tabs>
        <w:ind w:left="3960" w:hanging="420"/>
      </w:pPr>
      <w:rPr>
        <w:rFonts w:cs="Times New Roman"/>
      </w:rPr>
    </w:lvl>
    <w:lvl w:ilvl="8" w:tentative="0">
      <w:start w:val="1"/>
      <w:numFmt w:val="lowerRoman"/>
      <w:lvlText w:val="%9."/>
      <w:lvlJc w:val="right"/>
      <w:pPr>
        <w:tabs>
          <w:tab w:val="left" w:pos="4380"/>
        </w:tabs>
        <w:ind w:left="4380" w:hanging="420"/>
      </w:pPr>
      <w:rPr>
        <w:rFonts w:cs="Times New Roman"/>
      </w:rPr>
    </w:lvl>
  </w:abstractNum>
  <w:abstractNum w:abstractNumId="2">
    <w:nsid w:val="0DA7C9DF"/>
    <w:multiLevelType w:val="singleLevel"/>
    <w:tmpl w:val="0DA7C9DF"/>
    <w:lvl w:ilvl="0" w:tentative="0">
      <w:start w:val="5"/>
      <w:numFmt w:val="decimal"/>
      <w:suff w:val="space"/>
      <w:lvlText w:val="%1."/>
      <w:lvlJc w:val="left"/>
    </w:lvl>
  </w:abstractNum>
  <w:abstractNum w:abstractNumId="3">
    <w:nsid w:val="365931EC"/>
    <w:multiLevelType w:val="singleLevel"/>
    <w:tmpl w:val="365931EC"/>
    <w:lvl w:ilvl="0" w:tentative="0">
      <w:start w:val="4"/>
      <w:numFmt w:val="decimal"/>
      <w:suff w:val="nothing"/>
      <w:lvlText w:val="%1、"/>
      <w:lvlJc w:val="left"/>
    </w:lvl>
  </w:abstractNum>
  <w:abstractNum w:abstractNumId="4">
    <w:nsid w:val="4F3329BA"/>
    <w:multiLevelType w:val="multilevel"/>
    <w:tmpl w:val="4F3329BA"/>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5">
    <w:nsid w:val="55FF0E92"/>
    <w:multiLevelType w:val="singleLevel"/>
    <w:tmpl w:val="55FF0E92"/>
    <w:lvl w:ilvl="0" w:tentative="0">
      <w:start w:val="8"/>
      <w:numFmt w:val="decimal"/>
      <w:suff w:val="space"/>
      <w:lvlText w:val="%1."/>
      <w:lvlJc w:val="left"/>
    </w:lvl>
  </w:abstractNum>
  <w:num w:numId="1">
    <w:abstractNumId w:val="3"/>
  </w:num>
  <w:num w:numId="2">
    <w:abstractNumId w:val="4"/>
  </w:num>
  <w:num w:numId="3">
    <w:abstractNumId w:val="5"/>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1A07C46"/>
    <w:rsid w:val="01CD3F39"/>
    <w:rsid w:val="01E572ED"/>
    <w:rsid w:val="03916034"/>
    <w:rsid w:val="040E618C"/>
    <w:rsid w:val="051872C2"/>
    <w:rsid w:val="056863C0"/>
    <w:rsid w:val="07AC1DB6"/>
    <w:rsid w:val="09675BE0"/>
    <w:rsid w:val="098E1160"/>
    <w:rsid w:val="0B8E45B7"/>
    <w:rsid w:val="0B9A4AE3"/>
    <w:rsid w:val="0C3716E5"/>
    <w:rsid w:val="0D101199"/>
    <w:rsid w:val="0E826C61"/>
    <w:rsid w:val="0E9803EB"/>
    <w:rsid w:val="0F45208F"/>
    <w:rsid w:val="104C5B1A"/>
    <w:rsid w:val="107E6259"/>
    <w:rsid w:val="114D1D88"/>
    <w:rsid w:val="120E5CAE"/>
    <w:rsid w:val="130E3A86"/>
    <w:rsid w:val="134C582C"/>
    <w:rsid w:val="14197ED7"/>
    <w:rsid w:val="150B5514"/>
    <w:rsid w:val="16C20B97"/>
    <w:rsid w:val="16DC47C4"/>
    <w:rsid w:val="1AFF14CF"/>
    <w:rsid w:val="1B883395"/>
    <w:rsid w:val="1D165942"/>
    <w:rsid w:val="1ED975B4"/>
    <w:rsid w:val="1F7A29C7"/>
    <w:rsid w:val="200D7052"/>
    <w:rsid w:val="20702A30"/>
    <w:rsid w:val="20C53CCE"/>
    <w:rsid w:val="20FD649F"/>
    <w:rsid w:val="25142F26"/>
    <w:rsid w:val="25E01C32"/>
    <w:rsid w:val="262D78C5"/>
    <w:rsid w:val="26786C4B"/>
    <w:rsid w:val="2697195C"/>
    <w:rsid w:val="26CA1DA1"/>
    <w:rsid w:val="26E56B18"/>
    <w:rsid w:val="27EE0EDD"/>
    <w:rsid w:val="29E55B86"/>
    <w:rsid w:val="2A1B0594"/>
    <w:rsid w:val="2AA97DAE"/>
    <w:rsid w:val="2C741EA2"/>
    <w:rsid w:val="2D7C28EF"/>
    <w:rsid w:val="2E41066F"/>
    <w:rsid w:val="32082226"/>
    <w:rsid w:val="33017762"/>
    <w:rsid w:val="34440F0D"/>
    <w:rsid w:val="364A3284"/>
    <w:rsid w:val="36757371"/>
    <w:rsid w:val="36E419A0"/>
    <w:rsid w:val="38192BD5"/>
    <w:rsid w:val="38647CE3"/>
    <w:rsid w:val="3869122B"/>
    <w:rsid w:val="392C2A53"/>
    <w:rsid w:val="39493312"/>
    <w:rsid w:val="3ABE4A69"/>
    <w:rsid w:val="3AF165B2"/>
    <w:rsid w:val="3B2641A6"/>
    <w:rsid w:val="3B3719BC"/>
    <w:rsid w:val="3C45300F"/>
    <w:rsid w:val="3C463971"/>
    <w:rsid w:val="3C82007B"/>
    <w:rsid w:val="3D2B6054"/>
    <w:rsid w:val="3DA55F43"/>
    <w:rsid w:val="403A3976"/>
    <w:rsid w:val="41855F86"/>
    <w:rsid w:val="419D5661"/>
    <w:rsid w:val="4289460C"/>
    <w:rsid w:val="434406D4"/>
    <w:rsid w:val="43D51A80"/>
    <w:rsid w:val="45A00627"/>
    <w:rsid w:val="45F21278"/>
    <w:rsid w:val="47895D79"/>
    <w:rsid w:val="48057DE3"/>
    <w:rsid w:val="49204FAC"/>
    <w:rsid w:val="4AC61242"/>
    <w:rsid w:val="4B6F3612"/>
    <w:rsid w:val="4B7F5094"/>
    <w:rsid w:val="4DD0464F"/>
    <w:rsid w:val="4F62080E"/>
    <w:rsid w:val="51DF7E60"/>
    <w:rsid w:val="53DE2DEA"/>
    <w:rsid w:val="54B533E0"/>
    <w:rsid w:val="554A682D"/>
    <w:rsid w:val="56264A85"/>
    <w:rsid w:val="56BA24BE"/>
    <w:rsid w:val="5A966616"/>
    <w:rsid w:val="5C097184"/>
    <w:rsid w:val="5CC67608"/>
    <w:rsid w:val="5D8D70F2"/>
    <w:rsid w:val="5DD40BE5"/>
    <w:rsid w:val="5EE53394"/>
    <w:rsid w:val="61341D4C"/>
    <w:rsid w:val="61875189"/>
    <w:rsid w:val="61EE46BC"/>
    <w:rsid w:val="61F46EEC"/>
    <w:rsid w:val="62106B32"/>
    <w:rsid w:val="66DF4D4E"/>
    <w:rsid w:val="67B96D9D"/>
    <w:rsid w:val="682B53EE"/>
    <w:rsid w:val="69074886"/>
    <w:rsid w:val="695B5E02"/>
    <w:rsid w:val="6A9749BB"/>
    <w:rsid w:val="6BBB64F0"/>
    <w:rsid w:val="6DD55037"/>
    <w:rsid w:val="6F350F5D"/>
    <w:rsid w:val="70562820"/>
    <w:rsid w:val="70CC7CFE"/>
    <w:rsid w:val="71232B76"/>
    <w:rsid w:val="74300B8D"/>
    <w:rsid w:val="75F026F2"/>
    <w:rsid w:val="76661983"/>
    <w:rsid w:val="77E03209"/>
    <w:rsid w:val="77F563B2"/>
    <w:rsid w:val="792E2AF4"/>
    <w:rsid w:val="797B0856"/>
    <w:rsid w:val="79EE4792"/>
    <w:rsid w:val="7B9E2423"/>
    <w:rsid w:val="7D5F30A1"/>
    <w:rsid w:val="7DEA2081"/>
    <w:rsid w:val="7E3115A9"/>
    <w:rsid w:val="7ED82F8E"/>
    <w:rsid w:val="7F03388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qFormat/>
    <w:uiPriority w:val="99"/>
    <w:rPr>
      <w:sz w:val="18"/>
      <w:szCs w:val="18"/>
    </w:rPr>
  </w:style>
  <w:style w:type="paragraph" w:styleId="3">
    <w:name w:val="footer"/>
    <w:basedOn w:val="1"/>
    <w:link w:val="10"/>
    <w:semiHidden/>
    <w:qFormat/>
    <w:uiPriority w:val="99"/>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table" w:styleId="6">
    <w:name w:val="Table Grid"/>
    <w:basedOn w:val="5"/>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Hyperlink"/>
    <w:basedOn w:val="7"/>
    <w:semiHidden/>
    <w:unhideWhenUsed/>
    <w:qFormat/>
    <w:uiPriority w:val="99"/>
    <w:rPr>
      <w:color w:val="0000FF"/>
      <w:u w:val="single"/>
    </w:rPr>
  </w:style>
  <w:style w:type="character" w:customStyle="1" w:styleId="9">
    <w:name w:val="批注框文本 Char"/>
    <w:link w:val="2"/>
    <w:semiHidden/>
    <w:qFormat/>
    <w:locked/>
    <w:uiPriority w:val="99"/>
    <w:rPr>
      <w:rFonts w:ascii="Times New Roman" w:hAnsi="Times New Roman" w:eastAsia="宋体" w:cs="Times New Roman"/>
      <w:sz w:val="18"/>
      <w:szCs w:val="18"/>
    </w:rPr>
  </w:style>
  <w:style w:type="character" w:customStyle="1" w:styleId="10">
    <w:name w:val="页脚 Char"/>
    <w:link w:val="3"/>
    <w:semiHidden/>
    <w:qFormat/>
    <w:locked/>
    <w:uiPriority w:val="99"/>
    <w:rPr>
      <w:rFonts w:ascii="Times New Roman" w:hAnsi="Times New Roman" w:eastAsia="宋体" w:cs="Times New Roman"/>
      <w:sz w:val="18"/>
      <w:szCs w:val="18"/>
    </w:rPr>
  </w:style>
  <w:style w:type="character" w:customStyle="1" w:styleId="11">
    <w:name w:val="页眉 Char"/>
    <w:link w:val="4"/>
    <w:qFormat/>
    <w:locked/>
    <w:uiPriority w:val="0"/>
    <w:rPr>
      <w:sz w:val="18"/>
    </w:rPr>
  </w:style>
  <w:style w:type="character" w:customStyle="1" w:styleId="12">
    <w:name w:val="页眉 Char1"/>
    <w:semiHidden/>
    <w:qFormat/>
    <w:uiPriority w:val="99"/>
    <w:rPr>
      <w:rFonts w:ascii="Times New Roman" w:hAnsi="Times New Roman" w:eastAsia="宋体" w:cs="Times New Roman"/>
      <w:sz w:val="18"/>
      <w:szCs w:val="18"/>
    </w:rPr>
  </w:style>
  <w:style w:type="paragraph" w:styleId="13">
    <w:name w:val="List Paragraph"/>
    <w:basedOn w:val="1"/>
    <w:qFormat/>
    <w:uiPriority w:val="99"/>
    <w:pPr>
      <w:ind w:firstLine="420" w:firstLineChars="200"/>
    </w:pPr>
    <w:rPr>
      <w:sz w:val="21"/>
      <w:szCs w:val="24"/>
    </w:r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655</Words>
  <Characters>3739</Characters>
  <Lines>31</Lines>
  <Paragraphs>8</Paragraphs>
  <TotalTime>11</TotalTime>
  <ScaleCrop>false</ScaleCrop>
  <LinksUpToDate>false</LinksUpToDate>
  <CharactersWithSpaces>4386</CharactersWithSpaces>
  <Application>WPS Office_11.1.0.10069_F1E327BC-269C-435d-A152-05C5408002CA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Administrator</cp:lastModifiedBy>
  <cp:lastPrinted>2019-04-18T08:15:00Z</cp:lastPrinted>
  <dcterms:modified xsi:type="dcterms:W3CDTF">2020-09-27T08:13:58Z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2052-11.1.0.10069</vt:lpwstr>
  </property>
</Properties>
</file>