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7"/>
        <w:tblW w:w="10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466"/>
        <w:gridCol w:w="776"/>
        <w:gridCol w:w="75"/>
        <w:gridCol w:w="690"/>
        <w:gridCol w:w="261"/>
        <w:gridCol w:w="425"/>
        <w:gridCol w:w="1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9035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成都黄氏漆业有限公司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9035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成都市郫县成都现代工业港北片区港中路9号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卢道宽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028-87881012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20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卢道宽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20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0284-2019-QE-2020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783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035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035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/>
              </w:rPr>
            </w:pPr>
            <w:bookmarkStart w:id="9" w:name="审核范围"/>
            <w:r>
              <w:rPr>
                <w:rFonts w:hint="eastAsia" w:ascii="宋体" w:hAnsi="宋体"/>
              </w:rPr>
              <w:t>Q：</w:t>
            </w:r>
            <w:r>
              <w:rPr>
                <w:rFonts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FFFFFF"/>
              </w:rPr>
              <w:t>涂料、胶粘剂、墙体保温材料（聚合聚苯板、水泥基发泡保温材料）的生产（需资质许可除外）</w:t>
            </w:r>
          </w:p>
          <w:p>
            <w:pPr>
              <w:rPr>
                <w:sz w:val="20"/>
              </w:rPr>
            </w:pPr>
            <w:r>
              <w:rPr>
                <w:rFonts w:hint="eastAsia" w:ascii="宋体" w:hAnsi="宋体"/>
              </w:rPr>
              <w:t>E：</w:t>
            </w:r>
            <w:bookmarkEnd w:id="9"/>
            <w:r>
              <w:rPr>
                <w:rFonts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FFFFFF"/>
              </w:rPr>
              <w:t>涂料、胶粘剂、墙体保温材料（聚合聚苯板、水泥基发泡保温材料）的生产（需资质许可除外）及相关环境管理活动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Q：12.03.00;12.05.02;14.02.01;16.02.05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E：12.03.00;12.05.02;14.02.01;16.02.05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035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8.3条款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035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2020年09月27日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 xml:space="preserve">2020年09月29日 </w:t>
            </w:r>
            <w:r>
              <w:rPr>
                <w:rFonts w:hint="eastAsia"/>
                <w:b/>
                <w:sz w:val="20"/>
                <w:lang w:val="en-US" w:eastAsia="zh-CN"/>
              </w:rPr>
              <w:t>下</w:t>
            </w:r>
            <w:r>
              <w:rPr>
                <w:rFonts w:hint="eastAsia"/>
                <w:b/>
                <w:sz w:val="20"/>
              </w:rPr>
              <w:t>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r>
              <w:rPr>
                <w:rFonts w:hint="eastAsia"/>
                <w:b/>
                <w:sz w:val="20"/>
                <w:lang w:val="en-US" w:eastAsia="zh-CN"/>
              </w:rPr>
              <w:t>3.0</w:t>
            </w:r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035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520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73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73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2019-N1EMS-1242345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李金一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273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中核三鑫建筑工程有限公司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Q:12.03.00,12.05.02,14.02.01,16.02.05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E:12.03.00,12.05.02,14.02.01,16.02.05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520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216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216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2020.09.22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216" w:type="dxa"/>
            <w:gridSpan w:val="7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2020.09.22</w:t>
            </w: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7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425"/>
        <w:gridCol w:w="1225"/>
        <w:gridCol w:w="6425"/>
        <w:gridCol w:w="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54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4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5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54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7650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75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A、B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1" w:hRule="atLeast"/>
          <w:jc w:val="center"/>
        </w:trPr>
        <w:tc>
          <w:tcPr>
            <w:tcW w:w="5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425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9.3管理评审；10.1改进 总则；10.3持续改进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9.1.1监测、分析和评估总则；9.3管理评审；10.1改进 总则；10.3持续改进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范围的确认，资质的确认，法律法规执行情况，重大质量事故，及顾客投诉和质量监督抽查情况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证书使用情况、上次不符合验证</w:t>
            </w:r>
            <w:r>
              <w:rPr>
                <w:rFonts w:hint="eastAsia" w:ascii="宋体" w:hAnsi="宋体" w:cs="新宋体"/>
                <w:sz w:val="18"/>
                <w:szCs w:val="18"/>
              </w:rPr>
              <w:t>。</w:t>
            </w:r>
          </w:p>
        </w:tc>
        <w:tc>
          <w:tcPr>
            <w:tcW w:w="75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A、B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5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7650" w:type="dxa"/>
            <w:gridSpan w:val="2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中午休息1小时</w:t>
            </w:r>
          </w:p>
        </w:tc>
        <w:tc>
          <w:tcPr>
            <w:tcW w:w="75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4" w:hRule="atLeast"/>
          <w:jc w:val="center"/>
        </w:trPr>
        <w:tc>
          <w:tcPr>
            <w:tcW w:w="5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22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办公室</w:t>
            </w:r>
          </w:p>
        </w:tc>
        <w:tc>
          <w:tcPr>
            <w:tcW w:w="6425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/权限；6.2质量目标及其实现的策划；9.2内部审核；10.2不符合和纠正措施；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环境因素；6.1.3合规义务；6.2目标及其达成的策划；8.1运行策划和控制；8.2应急准备和响应；9.1监视、测量、分析与评估；9.1.2符合性评估；9.2内部审核；10.2不符合和纠正措施；10.3持续改进/EMS运行控制相关财务支出证据</w:t>
            </w:r>
          </w:p>
        </w:tc>
        <w:tc>
          <w:tcPr>
            <w:tcW w:w="756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3" w:hRule="atLeast"/>
          <w:jc w:val="center"/>
        </w:trPr>
        <w:tc>
          <w:tcPr>
            <w:tcW w:w="54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中午休息1小时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2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生产技术部</w:t>
            </w:r>
          </w:p>
        </w:tc>
        <w:tc>
          <w:tcPr>
            <w:tcW w:w="6425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5.3岗位/职责 /权限；6.2质量目标及其实现的策划； 8.1运行策划和控制； 8.3设计开发控制；  8.5.1生产和服务提供的控制；8.5.2标识和可追溯性；8.5.3顾客或外部供方的财产；8.5.4防护；8.5.5交付后的活动；8.5.6更改控制 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5.3组织的角色、职责和权限；6.2目标及其实现的策划；6.1.2环境因素；8.1运行策划和控制； 8.2应急准备和响应</w:t>
            </w:r>
          </w:p>
        </w:tc>
        <w:tc>
          <w:tcPr>
            <w:tcW w:w="75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A、B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4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9月29日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2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市场部</w:t>
            </w:r>
          </w:p>
        </w:tc>
        <w:tc>
          <w:tcPr>
            <w:tcW w:w="6425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/权限；6.2质量目标及其实现的策划；8.2产品和服务的要求；8.4外部提供供方的控制；9.1.2顾客满意；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5.3组织的角色、职责和权限；6.2目标及其实现的策划；6.1.2环境因素；8.1运行策划和控制；8.2应急准备和响应；</w:t>
            </w:r>
          </w:p>
        </w:tc>
        <w:tc>
          <w:tcPr>
            <w:tcW w:w="75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A、B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4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7650" w:type="dxa"/>
            <w:gridSpan w:val="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中午休息1小时</w:t>
            </w:r>
          </w:p>
        </w:tc>
        <w:tc>
          <w:tcPr>
            <w:tcW w:w="756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4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13:00-1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22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质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安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6425" w:type="dxa"/>
            <w:vAlign w:val="top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/权限；6.2质量目标及其实现的策划；7.1.5</w:t>
            </w:r>
            <w:r>
              <w:rPr>
                <w:rFonts w:hint="eastAsia" w:ascii="宋体" w:hAnsi="宋体" w:cs="宋体"/>
                <w:sz w:val="18"/>
                <w:szCs w:val="18"/>
              </w:rPr>
              <w:t>监视和测量资源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8.6产品和服务放行；8.7不合格输出的控制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5.3组织的角色、职责和权限；6.2目标及其实现的策划；6.1.2环境因素；8.1运行策划和控制； 8.2应急准备和响应</w:t>
            </w:r>
          </w:p>
        </w:tc>
        <w:tc>
          <w:tcPr>
            <w:tcW w:w="756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54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765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75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A、B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5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765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75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A、B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  <w:bookmarkStart w:id="18" w:name="_GoBack"/>
      <w:bookmarkEnd w:id="18"/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3"/>
        <w:rFonts w:hint="default"/>
      </w:rPr>
      <w:t xml:space="preserve">        </w:t>
    </w:r>
    <w:r>
      <w:rPr>
        <w:rStyle w:val="13"/>
        <w:rFonts w:hint="default"/>
        <w:w w:val="90"/>
      </w:rPr>
      <w:t>Beijing International Standard united Certification Co.,Ltd.</w:t>
    </w:r>
    <w:r>
      <w:rPr>
        <w:rStyle w:val="13"/>
        <w:rFonts w:hint="default"/>
        <w:w w:val="90"/>
        <w:szCs w:val="21"/>
      </w:rPr>
      <w:t xml:space="preserve">  </w:t>
    </w:r>
    <w:r>
      <w:rPr>
        <w:rStyle w:val="13"/>
        <w:rFonts w:hint="default"/>
        <w:w w:val="90"/>
        <w:sz w:val="20"/>
      </w:rPr>
      <w:t xml:space="preserve"> </w:t>
    </w:r>
    <w:r>
      <w:rPr>
        <w:rStyle w:val="13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92549F"/>
    <w:rsid w:val="00A54AF8"/>
    <w:rsid w:val="02704723"/>
    <w:rsid w:val="05670191"/>
    <w:rsid w:val="0C1901AE"/>
    <w:rsid w:val="0F976C87"/>
    <w:rsid w:val="10262228"/>
    <w:rsid w:val="18FB467B"/>
    <w:rsid w:val="1A4339E0"/>
    <w:rsid w:val="21130288"/>
    <w:rsid w:val="232B1CF0"/>
    <w:rsid w:val="25B106D1"/>
    <w:rsid w:val="26646C25"/>
    <w:rsid w:val="276F119E"/>
    <w:rsid w:val="27A52D65"/>
    <w:rsid w:val="295B4032"/>
    <w:rsid w:val="2C1F539A"/>
    <w:rsid w:val="2CB525E6"/>
    <w:rsid w:val="2FE45ECC"/>
    <w:rsid w:val="30A376C5"/>
    <w:rsid w:val="311A1429"/>
    <w:rsid w:val="322E7231"/>
    <w:rsid w:val="34F87B0A"/>
    <w:rsid w:val="3934247E"/>
    <w:rsid w:val="3CAB6906"/>
    <w:rsid w:val="47B34DA5"/>
    <w:rsid w:val="485B75ED"/>
    <w:rsid w:val="4B67455A"/>
    <w:rsid w:val="4BCC7BA8"/>
    <w:rsid w:val="53160EE1"/>
    <w:rsid w:val="53776B5E"/>
    <w:rsid w:val="59DB4C78"/>
    <w:rsid w:val="5C192DCD"/>
    <w:rsid w:val="5D555BFF"/>
    <w:rsid w:val="5D9D6F56"/>
    <w:rsid w:val="5F5D4F33"/>
    <w:rsid w:val="65B77BD4"/>
    <w:rsid w:val="698F0F18"/>
    <w:rsid w:val="6BA408C7"/>
    <w:rsid w:val="6DD94463"/>
    <w:rsid w:val="6F77592E"/>
    <w:rsid w:val="74DD119C"/>
    <w:rsid w:val="78474280"/>
    <w:rsid w:val="7CB65B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2020-09-27T08:13:31Z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