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65"/>
        <w:gridCol w:w="126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南京绿叶制药有限公司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3.02.0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岳树亮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3.02.0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郝本东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  <w:bookmarkStart w:id="0" w:name="_GoBack"/>
            <w:bookmarkEnd w:id="0"/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张静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.0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</w:t>
            </w:r>
            <w:r>
              <w:rPr>
                <w:b/>
                <w:sz w:val="20"/>
              </w:rPr>
              <w:t>3.02.0</w:t>
            </w:r>
            <w:r>
              <w:rPr>
                <w:rFonts w:hint="eastAsia"/>
                <w:b/>
                <w:sz w:val="20"/>
                <w:lang w:val="en-US" w:eastAsia="zh-CN"/>
              </w:rPr>
              <w:t>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 w:ascii="宋体" w:hAnsi="宋体" w:eastAsia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冻干粉针剂（含抗肿瘤药）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生产流程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2433320</wp:posOffset>
                      </wp:positionH>
                      <wp:positionV relativeFrom="paragraph">
                        <wp:posOffset>103505</wp:posOffset>
                      </wp:positionV>
                      <wp:extent cx="299720" cy="172720"/>
                      <wp:effectExtent l="2540" t="3810" r="2540" b="13970"/>
                      <wp:wrapNone/>
                      <wp:docPr id="2" name="直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98695" y="3376295"/>
                                <a:ext cx="299720" cy="1727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4" o:spid="_x0000_s1026" o:spt="20" style="position:absolute;left:0pt;margin-left:191.6pt;margin-top:8.15pt;height:13.6pt;width:23.6pt;z-index:251658240;mso-width-relative:page;mso-height-relative:page;" filled="f" stroked="t" coordsize="21600,21600" o:gfxdata="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J5Ss51wAAAAkBAAAPAAAA&#10;AAAAAAEAIAAAACIAAABkcnMvZG93bnJldi54bWxQSwECFAAUAAAACACHTuJAc7q2CN0BAACdAwAA&#10;DgAAAAAAAAABACAAAAAm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配料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-一级过滤-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--二级过滤-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-（制备） 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104140</wp:posOffset>
                      </wp:positionV>
                      <wp:extent cx="304800" cy="203200"/>
                      <wp:effectExtent l="2540" t="3810" r="10160" b="8890"/>
                      <wp:wrapNone/>
                      <wp:docPr id="3" name="直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4783455" y="3559175"/>
                                <a:ext cx="304800" cy="2032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" o:spid="_x0000_s1026" o:spt="20" style="position:absolute;left:0pt;flip:y;margin-left:189.2pt;margin-top:8.2pt;height:16pt;width:24pt;z-index:251659264;mso-width-relative:page;mso-height-relative:page;" filled="f" stroked="t" coordsize="21600,21600" o:gfxdata="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MFAgJ1QAAAAkB&#10;AAAPAAAAAAAAAAEAIAAAACIAAABkcnMvZG93bnJldi54bWxQSwECFAAUAAAACACHTuJAWLFJRuUB&#10;AACnAwAADgAAAAAAAAABACAAAAAkAQAAZHJzL2Uyb0RvYy54bWxQSwUGAAAAAAYABgBZAQAAewUA&#10;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                             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--灌装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-冻干--轧盖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-包装</w:t>
            </w:r>
          </w:p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胶塞清洗灭菌--器具清洗灭菌-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铝盖灭菌  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粉针剂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生产流程：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胶塞清洗灭菌--器具清洗灭菌-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铝盖灭菌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--分装--轧盖</w:t>
            </w:r>
            <w:r>
              <w:rPr>
                <w:rFonts w:hint="default" w:ascii="宋体" w:hAnsi="宋体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-包装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无菌原料药（氨磷汀）</w:t>
            </w:r>
            <w:r>
              <w:rPr>
                <w:rFonts w:hint="eastAsia"/>
                <w:b/>
                <w:sz w:val="20"/>
                <w:lang w:val="en-US" w:eastAsia="zh-CN"/>
              </w:rPr>
              <w:t>生产流程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物料准备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default" w:ascii="宋体" w:hAnsi="宋体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溶解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default" w:ascii="宋体" w:hAnsi="宋体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预过滤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default" w:ascii="宋体" w:hAnsi="宋体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除菌过滤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default" w:ascii="宋体" w:hAnsi="宋体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析晶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default" w:ascii="宋体" w:hAnsi="宋体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真空干燥</w:t>
            </w:r>
            <w:r>
              <w:rPr>
                <w:rFonts w:hint="eastAsia" w:ascii="宋体" w:hAnsi="宋体"/>
                <w:lang w:val="en-US" w:eastAsia="zh-CN"/>
              </w:rPr>
              <w:t>-</w:t>
            </w:r>
            <w:r>
              <w:rPr>
                <w:rFonts w:hint="default" w:ascii="宋体" w:hAnsi="宋体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过筛</w:t>
            </w:r>
            <w:r>
              <w:rPr>
                <w:rFonts w:hint="eastAsia" w:ascii="宋体" w:hAnsi="宋体"/>
                <w:lang w:val="en-US" w:eastAsia="zh-CN"/>
              </w:rPr>
              <w:t>--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包装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原料药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香菇多糖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生产流程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物料准备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default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溶胀匀浆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default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碱沉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default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酸碱处理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default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醇沉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default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脱脂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default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干燥</w:t>
            </w:r>
            <w:r>
              <w:rPr>
                <w:rFonts w:hint="eastAsia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default" w:ascii="宋体" w:hAnsi="宋体"/>
                <w:b w:val="0"/>
                <w:bCs w:val="0"/>
                <w:lang w:val="en-US" w:eastAsia="zh-CN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包装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/>
                <w:b/>
                <w:bCs/>
                <w:sz w:val="20"/>
                <w:szCs w:val="22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药用辅料（蛋黄卵磷脂）生产流程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物料准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备-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提取-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吸附-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脱色吸附-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浓缩-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过滤-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蒸馏-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浸泡-</w:t>
            </w:r>
            <w:r>
              <w:rPr>
                <w:rFonts w:hint="default"/>
                <w:b w:val="0"/>
                <w:bCs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/>
                <w:b w:val="0"/>
                <w:bCs/>
                <w:sz w:val="20"/>
                <w:szCs w:val="22"/>
                <w:lang w:val="en-US" w:eastAsia="zh-CN"/>
              </w:rPr>
              <w:t>干燥--包装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关键过程为：除菌过滤、无菌灌装、冻干、无菌分装等工序，制定《工艺规程》、《操作规程》，提供《批生产记录》、《批检验记录》、《产品审核放行单》对生产过程进行过程监控，对关键质量控制点进行中间控制，成品检测合格后，对相关记录审核后放行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color w:val="000000"/>
                <w:sz w:val="20"/>
              </w:rPr>
            </w:pPr>
            <w:r>
              <w:rPr>
                <w:rFonts w:hint="eastAsia"/>
                <w:b/>
                <w:sz w:val="20"/>
              </w:rPr>
              <w:t>主要</w:t>
            </w:r>
            <w:r>
              <w:rPr>
                <w:b/>
                <w:sz w:val="20"/>
              </w:rPr>
              <w:t>环境因素：</w:t>
            </w:r>
            <w:r>
              <w:rPr>
                <w:rFonts w:hint="eastAsia" w:ascii="宋体" w:hAnsi="宋体"/>
                <w:color w:val="000000"/>
                <w:sz w:val="20"/>
              </w:rPr>
              <w:t>■固废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（生产</w:t>
            </w:r>
            <w:r>
              <w:rPr>
                <w:rFonts w:ascii="宋体" w:hAnsi="宋体"/>
                <w:color w:val="000000"/>
                <w:sz w:val="20"/>
              </w:rPr>
              <w:t>固废、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一般固废</w:t>
            </w:r>
            <w:r>
              <w:rPr>
                <w:rFonts w:hint="eastAsia" w:ascii="宋体" w:hAnsi="宋体"/>
                <w:color w:val="000000"/>
                <w:sz w:val="20"/>
              </w:rPr>
              <w:t>）■生活</w:t>
            </w:r>
            <w:r>
              <w:rPr>
                <w:rFonts w:ascii="宋体" w:hAnsi="宋体"/>
                <w:color w:val="000000"/>
                <w:sz w:val="20"/>
              </w:rPr>
              <w:t>、</w:t>
            </w:r>
            <w:r>
              <w:rPr>
                <w:rFonts w:hint="eastAsia" w:ascii="宋体" w:hAnsi="宋体"/>
                <w:color w:val="000000"/>
                <w:sz w:val="20"/>
              </w:rPr>
              <w:t>工业废水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、■废气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■噪声</w:t>
            </w:r>
            <w:r>
              <w:rPr>
                <w:rFonts w:ascii="宋体" w:hAnsi="宋体"/>
                <w:color w:val="000000"/>
                <w:sz w:val="20"/>
              </w:rPr>
              <w:t>排放</w:t>
            </w:r>
            <w:r>
              <w:rPr>
                <w:rFonts w:hint="eastAsia" w:ascii="宋体" w:hAnsi="宋体"/>
                <w:color w:val="000000"/>
                <w:sz w:val="20"/>
              </w:rPr>
              <w:t>■化学</w:t>
            </w:r>
            <w:r>
              <w:rPr>
                <w:rFonts w:ascii="宋体" w:hAnsi="宋体"/>
                <w:color w:val="000000"/>
                <w:sz w:val="20"/>
              </w:rPr>
              <w:t>品</w:t>
            </w:r>
            <w:r>
              <w:rPr>
                <w:rFonts w:hint="eastAsia" w:ascii="宋体" w:hAnsi="宋体"/>
                <w:color w:val="000000"/>
                <w:sz w:val="20"/>
              </w:rPr>
              <w:t>泄露■火灾</w:t>
            </w:r>
            <w:r>
              <w:rPr>
                <w:rFonts w:ascii="宋体" w:hAnsi="宋体"/>
                <w:color w:val="000000"/>
                <w:sz w:val="20"/>
              </w:rPr>
              <w:t>、爆炸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控制</w:t>
            </w:r>
            <w:r>
              <w:rPr>
                <w:rFonts w:ascii="宋体" w:hAnsi="宋体"/>
                <w:b/>
                <w:color w:val="000000"/>
                <w:sz w:val="20"/>
              </w:rPr>
              <w:t>措施：</w:t>
            </w:r>
            <w:r>
              <w:rPr>
                <w:rFonts w:hint="eastAsia" w:ascii="宋体" w:hAnsi="宋体"/>
                <w:color w:val="000000"/>
                <w:sz w:val="20"/>
              </w:rPr>
              <w:t>■固废</w:t>
            </w:r>
            <w:r>
              <w:rPr>
                <w:rFonts w:ascii="宋体" w:hAnsi="宋体"/>
                <w:color w:val="000000"/>
                <w:sz w:val="20"/>
              </w:rPr>
              <w:t>分类并定期处理</w:t>
            </w:r>
            <w:r>
              <w:rPr>
                <w:rFonts w:hint="eastAsia" w:ascii="宋体" w:hAnsi="宋体"/>
                <w:color w:val="000000"/>
                <w:sz w:val="20"/>
              </w:rPr>
              <w:t>■废水分类</w:t>
            </w:r>
            <w:r>
              <w:rPr>
                <w:rFonts w:ascii="宋体" w:hAnsi="宋体"/>
                <w:color w:val="000000"/>
                <w:sz w:val="20"/>
              </w:rPr>
              <w:t>收集、处理</w:t>
            </w:r>
            <w:r>
              <w:rPr>
                <w:rFonts w:hint="eastAsia" w:ascii="宋体" w:hAnsi="宋体"/>
                <w:color w:val="000000"/>
                <w:sz w:val="20"/>
              </w:rPr>
              <w:t>■废气收集</w:t>
            </w:r>
            <w:r>
              <w:rPr>
                <w:rFonts w:ascii="宋体" w:hAnsi="宋体"/>
                <w:color w:val="000000"/>
                <w:sz w:val="20"/>
              </w:rPr>
              <w:t>处理</w:t>
            </w:r>
            <w:r>
              <w:rPr>
                <w:rFonts w:hint="eastAsia" w:ascii="宋体" w:hAnsi="宋体"/>
                <w:color w:val="000000"/>
                <w:sz w:val="20"/>
              </w:rPr>
              <w:t>■降噪</w:t>
            </w:r>
            <w:r>
              <w:rPr>
                <w:rFonts w:ascii="宋体" w:hAnsi="宋体"/>
                <w:color w:val="000000"/>
                <w:sz w:val="20"/>
              </w:rPr>
              <w:t>处理</w:t>
            </w:r>
            <w:r>
              <w:rPr>
                <w:rFonts w:hint="eastAsia" w:ascii="宋体" w:hAnsi="宋体"/>
                <w:color w:val="000000"/>
                <w:sz w:val="20"/>
              </w:rPr>
              <w:t>■对</w:t>
            </w:r>
            <w:r>
              <w:rPr>
                <w:rFonts w:ascii="宋体" w:hAnsi="宋体"/>
                <w:color w:val="000000"/>
                <w:sz w:val="20"/>
              </w:rPr>
              <w:t>储罐定期检查、维护，</w:t>
            </w:r>
            <w:r>
              <w:rPr>
                <w:rFonts w:hint="eastAsia" w:ascii="宋体" w:hAnsi="宋体"/>
                <w:color w:val="000000"/>
                <w:sz w:val="20"/>
              </w:rPr>
              <w:t>谨慎</w:t>
            </w:r>
            <w:r>
              <w:rPr>
                <w:rFonts w:ascii="宋体" w:hAnsi="宋体"/>
                <w:color w:val="000000"/>
                <w:sz w:val="20"/>
              </w:rPr>
              <w:t>运输</w:t>
            </w:r>
            <w:r>
              <w:rPr>
                <w:rFonts w:hint="eastAsia" w:ascii="宋体" w:hAnsi="宋体"/>
                <w:color w:val="000000"/>
                <w:sz w:val="20"/>
              </w:rPr>
              <w:t>■消防、异常情况</w:t>
            </w:r>
            <w:r>
              <w:rPr>
                <w:rFonts w:ascii="宋体" w:hAnsi="宋体"/>
                <w:color w:val="000000"/>
                <w:sz w:val="20"/>
              </w:rPr>
              <w:t>预案及演练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1"/>
              <w:gridCol w:w="1912"/>
              <w:gridCol w:w="44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  <w:shd w:val="clear" w:color="auto" w:fill="auto"/>
                  <w:vAlign w:val="top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重要危险源</w:t>
                  </w:r>
                </w:p>
              </w:tc>
              <w:tc>
                <w:tcPr>
                  <w:tcW w:w="1912" w:type="dxa"/>
                  <w:shd w:val="clear" w:color="auto" w:fill="auto"/>
                  <w:vAlign w:val="top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职业健康安全风险</w:t>
                  </w:r>
                </w:p>
              </w:tc>
              <w:tc>
                <w:tcPr>
                  <w:tcW w:w="4470" w:type="dxa"/>
                  <w:shd w:val="clear" w:color="auto" w:fill="auto"/>
                  <w:vAlign w:val="top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控制措施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  <w:shd w:val="clear" w:color="auto" w:fill="auto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危化品泄露/爆炸</w:t>
                  </w:r>
                </w:p>
              </w:tc>
              <w:tc>
                <w:tcPr>
                  <w:tcW w:w="1912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GB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 xml:space="preserve">灼伤、中毒  </w:t>
                  </w:r>
                </w:p>
              </w:tc>
              <w:tc>
                <w:tcPr>
                  <w:tcW w:w="4470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设备维护、日常检查、定期检测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  <w:shd w:val="clear" w:color="auto" w:fill="auto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火灾</w:t>
                  </w:r>
                </w:p>
              </w:tc>
              <w:tc>
                <w:tcPr>
                  <w:tcW w:w="1912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烧伤</w:t>
                  </w:r>
                </w:p>
              </w:tc>
              <w:tc>
                <w:tcPr>
                  <w:tcW w:w="4470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消防设施、日常检查、定期检测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  <w:shd w:val="clear" w:color="auto" w:fill="auto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电气作业</w:t>
                  </w:r>
                </w:p>
              </w:tc>
              <w:tc>
                <w:tcPr>
                  <w:tcW w:w="1912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eastAsia" w:ascii="宋体" w:hAnsi="宋体" w:eastAsia="宋体" w:cs="Times New Roman"/>
                      <w:color w:val="000000"/>
                      <w:kern w:val="2"/>
                      <w:sz w:val="20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  <w:lang w:val="en-US" w:eastAsia="zh-CN"/>
                    </w:rPr>
                    <w:t>触电</w:t>
                  </w:r>
                </w:p>
              </w:tc>
              <w:tc>
                <w:tcPr>
                  <w:tcW w:w="4470" w:type="dxa"/>
                  <w:shd w:val="clear" w:color="auto" w:fill="auto"/>
                  <w:vAlign w:val="center"/>
                </w:tcPr>
                <w:p>
                  <w:pPr>
                    <w:snapToGrid w:val="0"/>
                    <w:spacing w:line="280" w:lineRule="exact"/>
                    <w:jc w:val="center"/>
                    <w:rPr>
                      <w:rFonts w:hint="default" w:ascii="宋体" w:hAnsi="宋体" w:eastAsia="宋体" w:cs="Times New Roman"/>
                      <w:color w:val="000000"/>
                      <w:kern w:val="2"/>
                      <w:sz w:val="20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Times New Roman"/>
                      <w:color w:val="000000"/>
                      <w:sz w:val="20"/>
                      <w:szCs w:val="22"/>
                    </w:rPr>
                    <w:t>做好接地、接零、漏电、绝缘、防火等措施</w:t>
                  </w:r>
                </w:p>
              </w:tc>
            </w:tr>
          </w:tbl>
          <w:p>
            <w:pPr>
              <w:snapToGrid w:val="0"/>
              <w:spacing w:line="280" w:lineRule="exact"/>
              <w:jc w:val="both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Q: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《</w:t>
            </w:r>
            <w:r>
              <w:rPr>
                <w:rFonts w:hint="eastAsia"/>
                <w:sz w:val="20"/>
                <w:lang w:val="en-US" w:eastAsia="zh-CN"/>
              </w:rPr>
              <w:t>药品管理</w:t>
            </w:r>
            <w:r>
              <w:rPr>
                <w:sz w:val="20"/>
              </w:rPr>
              <w:t>法</w:t>
            </w:r>
            <w:r>
              <w:rPr>
                <w:rFonts w:hint="eastAsia"/>
                <w:sz w:val="20"/>
              </w:rPr>
              <w:t>》、</w:t>
            </w:r>
            <w:r>
              <w:rPr>
                <w:rFonts w:hint="eastAsia"/>
                <w:sz w:val="20"/>
                <w:lang w:val="en-US" w:eastAsia="zh-CN"/>
              </w:rPr>
              <w:t>药典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药品生产质量管理规范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药品注册管理办法</w:t>
            </w:r>
          </w:p>
          <w:p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sz w:val="20"/>
              </w:rPr>
              <w:t>E：</w:t>
            </w:r>
            <w:r>
              <w:rPr>
                <w:rFonts w:hint="eastAsia"/>
                <w:sz w:val="20"/>
              </w:rPr>
              <w:t>《环境保护法》、《水污染防治法》、《大气污染防治法》、《环境噪声污染防治法》、《环境影响评价法》、《清洁生产促进法》等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sz w:val="20"/>
              </w:rPr>
              <w:t>O：</w:t>
            </w:r>
            <w:r>
              <w:rPr>
                <w:rFonts w:hint="eastAsia"/>
                <w:sz w:val="20"/>
              </w:rPr>
              <w:t>《职业卫生标准管理办法》、《作业场所职业危害申报管理办法》、《职业性健康检查管理规定》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按企业内控标准控制原料、辅料、中间产品、成品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/>
          <w:b/>
          <w:sz w:val="18"/>
          <w:szCs w:val="18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岳树亮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  <w:r>
        <w:rPr>
          <w:rFonts w:hint="eastAsia" w:ascii="宋体"/>
          <w:b/>
          <w:sz w:val="22"/>
          <w:szCs w:val="22"/>
        </w:rPr>
        <w:t xml:space="preserve">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张静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 xml:space="preserve"> 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240" w:right="1080" w:bottom="778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9525" b="1016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-I-24专业培训记录(03版)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oE2gFNUAAAAIAQAA&#10;DwAAAAAAAAABACAAAAAiAAAAZHJzL2Rvd25yZXYueG1sUEsBAhQAFAAAAAgAh07iQIhlK3mqAQAA&#10;LAMAAA4AAAAAAAAAAQAgAAAAJAEAAGRycy9lMm9Eb2MueG1sUEsFBgAAAAAGAAYAWQEAAEAFAAAA&#10;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-I-24专业培训记录(03版)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w w:val="90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5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Dep7vo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4CEA"/>
    <w:rsid w:val="05AA1B38"/>
    <w:rsid w:val="13B97277"/>
    <w:rsid w:val="15AE20C0"/>
    <w:rsid w:val="17AB0060"/>
    <w:rsid w:val="1F027AA9"/>
    <w:rsid w:val="21407F19"/>
    <w:rsid w:val="257E714D"/>
    <w:rsid w:val="293740D5"/>
    <w:rsid w:val="2B032D26"/>
    <w:rsid w:val="303D5170"/>
    <w:rsid w:val="3E313C87"/>
    <w:rsid w:val="4E2833E5"/>
    <w:rsid w:val="5620697D"/>
    <w:rsid w:val="5BD809A1"/>
    <w:rsid w:val="5D484EB0"/>
    <w:rsid w:val="64D4785C"/>
    <w:rsid w:val="6FE14422"/>
    <w:rsid w:val="757265FD"/>
    <w:rsid w:val="77811EB6"/>
    <w:rsid w:val="7BFD20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和为贵</cp:lastModifiedBy>
  <dcterms:modified xsi:type="dcterms:W3CDTF">2020-09-24T05:58:54Z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