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-81915</wp:posOffset>
            </wp:positionH>
            <wp:positionV relativeFrom="paragraph">
              <wp:posOffset>-125730</wp:posOffset>
            </wp:positionV>
            <wp:extent cx="6580505" cy="9206865"/>
            <wp:effectExtent l="0" t="0" r="10795" b="635"/>
            <wp:wrapNone/>
            <wp:docPr id="1" name="图片 1" descr="扫描全能王 2020-09-30 13.12.38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9-30 13.12.38_10"/>
                    <pic:cNvPicPr>
                      <a:picLocks noChangeAspect="1"/>
                    </pic:cNvPicPr>
                  </pic:nvPicPr>
                  <pic:blipFill>
                    <a:blip r:embed="rId6"/>
                    <a:stretch>
                      <a:fillRect/>
                    </a:stretch>
                  </pic:blipFill>
                  <pic:spPr>
                    <a:xfrm>
                      <a:off x="0" y="0"/>
                      <a:ext cx="6580505" cy="920686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南昌凯丰酒店用品设备有限公司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C7ADE"/>
    <w:rsid w:val="4B632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2020-09-30T05:57:46Z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