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南昌凯丰酒店用品设备有限公司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南昌凯丰酒店用品设备有限公司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江西省南昌市红谷滩新区丽景路938号卫东集贸中心</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330038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江西省南昌市新建区望城新区科发路168号酒店设备园</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330038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刘燕华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0791-87122777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陈原亮</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刘燕华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Q：不锈钢厨房设备、餐具、清洁设备、酒店配套用品、工艺品的销售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E：不锈钢厨房设备、餐具、清洁设备、酒店配套用品、工艺品的销售</w:t>
            </w:r>
            <w:r>
              <w:rPr>
                <w:rFonts w:hint="eastAsia" w:ascii="宋体" w:hAnsi="宋体"/>
                <w:b/>
                <w:color w:val="000000" w:themeColor="text1"/>
                <w:sz w:val="20"/>
                <w:szCs w:val="20"/>
                <w:lang w:val="en-US" w:eastAsia="zh-CN"/>
              </w:rPr>
              <w:t>所涉及的</w:t>
            </w:r>
            <w:r>
              <w:rPr>
                <w:rFonts w:ascii="宋体" w:hAnsi="宋体"/>
                <w:b/>
                <w:color w:val="000000" w:themeColor="text1"/>
                <w:sz w:val="20"/>
                <w:szCs w:val="20"/>
              </w:rPr>
              <w:t>关环境管理活动</w:t>
            </w:r>
          </w:p>
          <w:p>
            <w:pPr>
              <w:spacing w:line="320" w:lineRule="exact"/>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O：不锈钢厨房设备、餐具、清洁设备、酒店配套用品、工艺品的销售</w:t>
            </w:r>
            <w:bookmarkEnd w:id="17"/>
            <w:r>
              <w:rPr>
                <w:rFonts w:hint="eastAsia" w:ascii="宋体" w:hAnsi="宋体"/>
                <w:b/>
                <w:color w:val="000000" w:themeColor="text1"/>
                <w:sz w:val="20"/>
                <w:szCs w:val="20"/>
                <w:lang w:val="en-US" w:eastAsia="zh-CN"/>
              </w:rPr>
              <w:t>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4</w:t>
            </w:r>
            <w:r>
              <w:rPr>
                <w:rFonts w:ascii="宋体" w:hAnsi="宋体"/>
                <w:b/>
                <w:color w:val="000000" w:themeColor="text1"/>
                <w:sz w:val="20"/>
                <w:szCs w:val="20"/>
              </w:rPr>
              <w:t>-10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6"/>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综合</w:t>
            </w:r>
            <w:r>
              <w:rPr>
                <w:rFonts w:hint="eastAsia" w:ascii="宋体"/>
                <w:b/>
                <w:color w:val="000000"/>
                <w:sz w:val="20"/>
                <w:szCs w:val="20"/>
              </w:rPr>
              <w:t>部</w:t>
            </w:r>
          </w:p>
        </w:tc>
        <w:tc>
          <w:tcPr>
            <w:tcW w:w="6804" w:type="dxa"/>
          </w:tcPr>
          <w:p>
            <w:pPr>
              <w:jc w:val="center"/>
              <w:rPr>
                <w:rFonts w:hint="default" w:ascii="宋体" w:eastAsia="宋体"/>
                <w:b/>
                <w:color w:val="auto"/>
                <w:spacing w:val="-20"/>
                <w:sz w:val="20"/>
                <w:szCs w:val="20"/>
                <w:u w:val="single"/>
                <w:lang w:val="en-US" w:eastAsia="zh-CN"/>
              </w:rPr>
            </w:pPr>
            <w:r>
              <w:rPr>
                <w:rFonts w:hint="eastAsia" w:ascii="宋体"/>
                <w:b/>
                <w:color w:val="auto"/>
                <w:spacing w:val="-20"/>
                <w:sz w:val="20"/>
                <w:szCs w:val="20"/>
                <w:u w:val="single"/>
              </w:rPr>
              <w:t>体系运行、人力资源、内审、管理评审、监视与绩效考核、采购</w:t>
            </w:r>
            <w:r>
              <w:rPr>
                <w:rFonts w:hint="eastAsia" w:ascii="宋体"/>
                <w:b/>
                <w:color w:val="auto"/>
                <w:spacing w:val="-20"/>
                <w:sz w:val="20"/>
                <w:szCs w:val="20"/>
                <w:u w:val="single"/>
                <w:lang w:val="en-US" w:eastAsia="zh-CN"/>
              </w:rPr>
              <w:t>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eastAsia="宋体"/>
                <w:b/>
                <w:color w:val="000000"/>
                <w:sz w:val="20"/>
                <w:szCs w:val="20"/>
                <w:lang w:val="en-US" w:eastAsia="zh-CN"/>
              </w:rPr>
            </w:pPr>
            <w:r>
              <w:rPr>
                <w:rFonts w:hint="eastAsia" w:ascii="宋体"/>
                <w:b/>
                <w:color w:val="000000"/>
                <w:sz w:val="20"/>
                <w:szCs w:val="20"/>
                <w:lang w:val="en-US" w:eastAsia="zh-CN"/>
              </w:rPr>
              <w:t>采购部</w:t>
            </w:r>
          </w:p>
        </w:tc>
        <w:tc>
          <w:tcPr>
            <w:tcW w:w="6804" w:type="dxa"/>
          </w:tcPr>
          <w:p>
            <w:pPr>
              <w:jc w:val="center"/>
              <w:rPr>
                <w:rFonts w:hint="default" w:ascii="宋体" w:eastAsia="宋体"/>
                <w:b/>
                <w:color w:val="auto"/>
                <w:spacing w:val="-20"/>
                <w:sz w:val="20"/>
                <w:szCs w:val="20"/>
                <w:u w:val="single"/>
                <w:lang w:val="en-US" w:eastAsia="zh-CN"/>
              </w:rPr>
            </w:pPr>
            <w:r>
              <w:rPr>
                <w:rFonts w:hint="eastAsia" w:ascii="宋体"/>
                <w:b/>
                <w:color w:val="auto"/>
                <w:spacing w:val="-20"/>
                <w:sz w:val="20"/>
                <w:szCs w:val="20"/>
                <w:u w:val="single"/>
                <w:lang w:val="en-US" w:eastAsia="zh-CN"/>
              </w:rPr>
              <w:t>物质采购及其相关的环境、安全管理活动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销售</w:t>
            </w:r>
            <w:r>
              <w:rPr>
                <w:rFonts w:hint="eastAsia" w:ascii="宋体"/>
                <w:b/>
                <w:color w:val="000000"/>
                <w:sz w:val="20"/>
                <w:szCs w:val="20"/>
              </w:rPr>
              <w:t>部</w:t>
            </w:r>
          </w:p>
        </w:tc>
        <w:tc>
          <w:tcPr>
            <w:tcW w:w="6804" w:type="dxa"/>
          </w:tcPr>
          <w:p>
            <w:pPr>
              <w:jc w:val="center"/>
              <w:rPr>
                <w:rFonts w:ascii="宋体"/>
                <w:b/>
                <w:color w:val="auto"/>
                <w:spacing w:val="-20"/>
                <w:sz w:val="20"/>
                <w:szCs w:val="20"/>
                <w:u w:val="single"/>
              </w:rPr>
            </w:pPr>
            <w:r>
              <w:rPr>
                <w:rFonts w:hint="eastAsia" w:ascii="宋体"/>
                <w:b/>
                <w:color w:val="auto"/>
                <w:spacing w:val="-20"/>
                <w:sz w:val="20"/>
                <w:szCs w:val="20"/>
                <w:u w:val="single"/>
              </w:rPr>
              <w:t>产品销售、顾客满意度</w:t>
            </w:r>
            <w:r>
              <w:rPr>
                <w:rFonts w:hint="eastAsia" w:ascii="宋体"/>
                <w:b/>
                <w:color w:val="auto"/>
                <w:spacing w:val="-20"/>
                <w:sz w:val="20"/>
                <w:szCs w:val="20"/>
                <w:u w:val="single"/>
                <w:lang w:val="en-US" w:eastAsia="zh-CN"/>
              </w:rPr>
              <w:t>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6804"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b/>
                <w:color w:val="000000"/>
                <w:szCs w:val="21"/>
              </w:rPr>
            </w:pPr>
          </w:p>
        </w:tc>
        <w:tc>
          <w:tcPr>
            <w:tcW w:w="6804" w:type="dxa"/>
          </w:tcPr>
          <w:p>
            <w:pPr>
              <w:rPr>
                <w:rFonts w:ascii="宋体"/>
                <w:b/>
                <w:color w:val="000000"/>
                <w:spacing w:val="-20"/>
                <w:szCs w:val="21"/>
                <w:u w:val="single"/>
              </w:rPr>
            </w:pP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6"/>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6"/>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20"/>
              </w:rPr>
            </w:pPr>
            <w:r>
              <w:rPr>
                <w:sz w:val="20"/>
              </w:rPr>
              <w:t>不锈钢厨房设备、餐具、清洁设备、酒店配套用品、工艺品的销售</w:t>
            </w:r>
          </w:p>
          <w:p>
            <w:pPr>
              <w:rPr>
                <w:b/>
                <w:color w:val="000000"/>
                <w:sz w:val="20"/>
                <w:szCs w:val="20"/>
              </w:rPr>
            </w:pPr>
          </w:p>
        </w:tc>
        <w:tc>
          <w:tcPr>
            <w:tcW w:w="2519" w:type="dxa"/>
          </w:tcPr>
          <w:p>
            <w:pPr>
              <w:rPr>
                <w:b/>
                <w:color w:val="000000"/>
                <w:sz w:val="20"/>
                <w:szCs w:val="20"/>
              </w:rPr>
            </w:pPr>
            <w:r>
              <w:rPr>
                <w:rFonts w:hint="eastAsia"/>
                <w:b/>
                <w:color w:val="000000"/>
                <w:sz w:val="20"/>
                <w:szCs w:val="20"/>
              </w:rPr>
              <w:t>销售服务</w:t>
            </w:r>
          </w:p>
        </w:tc>
        <w:tc>
          <w:tcPr>
            <w:tcW w:w="1843" w:type="dxa"/>
          </w:tcPr>
          <w:p>
            <w:pPr>
              <w:rPr>
                <w:b/>
                <w:color w:val="000000"/>
                <w:sz w:val="20"/>
                <w:szCs w:val="20"/>
              </w:rPr>
            </w:pPr>
          </w:p>
        </w:tc>
        <w:tc>
          <w:tcPr>
            <w:tcW w:w="3543" w:type="dxa"/>
          </w:tcPr>
          <w:p>
            <w:pPr>
              <w:rPr>
                <w:b/>
                <w:color w:val="000000"/>
                <w:sz w:val="20"/>
                <w:szCs w:val="20"/>
              </w:rPr>
            </w:pPr>
            <w:r>
              <w:rPr>
                <w:rFonts w:hint="eastAsia" w:ascii="宋体" w:hAnsi="宋体"/>
                <w:sz w:val="24"/>
              </w:rPr>
              <w:t>《一次性使用卫生用品卫生标准》GB15979-2002</w:t>
            </w:r>
            <w:r>
              <w:rPr>
                <w:rFonts w:hint="eastAsia"/>
                <w:sz w:val="21"/>
                <w:szCs w:val="21"/>
                <w:lang w:val="en-US" w:eastAsia="zh-CN"/>
              </w:rPr>
              <w:t>等</w:t>
            </w:r>
          </w:p>
        </w:tc>
      </w:tr>
      <w:tr>
        <w:tblPrEx>
          <w:tblCellMar>
            <w:top w:w="0" w:type="dxa"/>
            <w:left w:w="108" w:type="dxa"/>
            <w:bottom w:w="0" w:type="dxa"/>
            <w:right w:w="108" w:type="dxa"/>
          </w:tblCellMar>
        </w:tblPrEx>
        <w:tc>
          <w:tcPr>
            <w:tcW w:w="2130" w:type="dxa"/>
          </w:tcPr>
          <w:p>
            <w:pPr>
              <w:rPr>
                <w:b/>
                <w:color w:val="000000"/>
                <w:sz w:val="20"/>
                <w:szCs w:val="20"/>
              </w:rPr>
            </w:pPr>
            <w:r>
              <w:rPr>
                <w:rFonts w:ascii="宋体" w:hAnsi="宋体"/>
                <w:b/>
                <w:color w:val="000000"/>
                <w:sz w:val="20"/>
                <w:szCs w:val="20"/>
              </w:rPr>
              <w:t xml:space="preserve">    </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4</w:t>
      </w:r>
      <w:r>
        <w:rPr>
          <w:rFonts w:hint="eastAsia"/>
          <w:b/>
          <w:color w:val="000000"/>
          <w:spacing w:val="-10"/>
          <w:szCs w:val="21"/>
        </w:rPr>
        <w:t>月</w:t>
      </w:r>
      <w:bookmarkStart w:id="20" w:name="OLE_LINK1"/>
      <w:r>
        <w:rPr>
          <w:rFonts w:hint="eastAsia"/>
          <w:b/>
          <w:color w:val="000000"/>
          <w:spacing w:val="-10"/>
          <w:szCs w:val="21"/>
          <w:lang w:val="en-US" w:eastAsia="zh-CN"/>
        </w:rPr>
        <w:t>10</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9</w:t>
      </w:r>
      <w:r>
        <w:rPr>
          <w:rFonts w:hint="eastAsia"/>
          <w:b/>
          <w:color w:val="000000"/>
          <w:spacing w:val="-10"/>
          <w:szCs w:val="21"/>
        </w:rPr>
        <w:t>月</w:t>
      </w:r>
      <w:r>
        <w:rPr>
          <w:rFonts w:hint="eastAsia"/>
          <w:b/>
          <w:color w:val="000000"/>
          <w:spacing w:val="-10"/>
          <w:szCs w:val="21"/>
          <w:lang w:val="en-US" w:eastAsia="zh-CN"/>
        </w:rPr>
        <w:t>30</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31680"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360" w:lineRule="auto"/>
              <w:ind w:firstLine="480"/>
              <w:jc w:val="left"/>
              <w:rPr>
                <w:rFonts w:ascii="宋体"/>
                <w:sz w:val="20"/>
                <w:szCs w:val="20"/>
              </w:rPr>
            </w:pPr>
            <w:r>
              <w:rPr>
                <w:b/>
                <w:color w:val="000000"/>
                <w:sz w:val="20"/>
                <w:szCs w:val="20"/>
              </w:rPr>
              <w:t>1</w:t>
            </w:r>
            <w:r>
              <w:rPr>
                <w:rFonts w:hint="eastAsia"/>
                <w:b/>
                <w:color w:val="000000"/>
                <w:sz w:val="20"/>
                <w:szCs w:val="20"/>
              </w:rPr>
              <w:t>、组织及其环境的识别情况</w:t>
            </w:r>
            <w:r>
              <w:rPr>
                <w:b/>
                <w:color w:val="000000"/>
                <w:sz w:val="20"/>
                <w:szCs w:val="20"/>
              </w:rPr>
              <w:t>:</w:t>
            </w:r>
            <w:r>
              <w:rPr>
                <w:rFonts w:ascii="宋体" w:hAnsi="宋体"/>
                <w:sz w:val="24"/>
              </w:rPr>
              <w:t xml:space="preserve"> </w:t>
            </w: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80"/>
              <w:jc w:val="left"/>
              <w:rPr>
                <w:rFonts w:ascii="宋体"/>
                <w:sz w:val="20"/>
                <w:szCs w:val="20"/>
              </w:rPr>
            </w:pPr>
            <w:r>
              <w:rPr>
                <w:b/>
                <w:color w:val="000000"/>
                <w:sz w:val="20"/>
                <w:szCs w:val="20"/>
              </w:rPr>
              <w:t>2</w:t>
            </w:r>
            <w:r>
              <w:rPr>
                <w:rFonts w:hint="eastAsia"/>
                <w:b/>
                <w:color w:val="000000"/>
                <w:sz w:val="20"/>
                <w:szCs w:val="20"/>
              </w:rPr>
              <w:t>、相关方需求和期望识别情况</w:t>
            </w:r>
            <w:r>
              <w:rPr>
                <w:b/>
                <w:color w:val="000000"/>
                <w:sz w:val="20"/>
                <w:szCs w:val="20"/>
              </w:rPr>
              <w:t>:</w:t>
            </w:r>
            <w:r>
              <w:rPr>
                <w:rFonts w:ascii="宋体" w:hAnsi="宋体"/>
                <w:sz w:val="24"/>
              </w:rPr>
              <w:t xml:space="preserve"> </w:t>
            </w: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质量至上、持续创新、诚实守信、顾客至上 </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预防为主，降低风险；遵章守法，创造和谐</w:t>
            </w:r>
          </w:p>
          <w:p>
            <w:pPr>
              <w:spacing w:line="360" w:lineRule="auto"/>
              <w:ind w:firstLine="1792" w:firstLineChars="85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22" w:firstLineChars="200"/>
              <w:rPr>
                <w:rFonts w:ascii="宋体"/>
                <w:sz w:val="20"/>
                <w:szCs w:val="20"/>
              </w:rPr>
            </w:pPr>
            <w:r>
              <w:rPr>
                <w:b/>
                <w:color w:val="000000"/>
              </w:rPr>
              <w:t>4</w:t>
            </w:r>
            <w:r>
              <w:rPr>
                <w:rFonts w:hint="eastAsia"/>
                <w:b/>
                <w:color w:val="000000"/>
              </w:rPr>
              <w:t>、风险识别与控制策划（</w:t>
            </w:r>
            <w:r>
              <w:rPr>
                <w:b/>
                <w:color w:val="000000"/>
              </w:rPr>
              <w:t>QMS</w:t>
            </w:r>
            <w:r>
              <w:rPr>
                <w:rFonts w:hint="eastAsia"/>
                <w:b/>
                <w:color w:val="000000"/>
              </w:rPr>
              <w:t>）</w:t>
            </w:r>
            <w:r>
              <w:rPr>
                <w:b/>
                <w:color w:val="000000"/>
              </w:rPr>
              <w:t>:</w:t>
            </w:r>
            <w:r>
              <w:rPr>
                <w:rFonts w:ascii="宋体" w:hAnsi="宋体"/>
                <w:sz w:val="24"/>
              </w:rPr>
              <w:t xml:space="preserve"> </w:t>
            </w: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编制《风险和机遇管理程序》，由办公室负责日常管理，确保文件化信息程度足以确信这些过程按策划实施。</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31680" w:hanging="201" w:hangingChars="100"/>
              <w:rPr>
                <w:rFonts w:ascii="宋体"/>
                <w:b/>
                <w:color w:val="000000"/>
                <w:sz w:val="20"/>
                <w:szCs w:val="20"/>
              </w:rPr>
            </w:pPr>
            <w:r>
              <w:rPr>
                <w:rFonts w:hint="eastAsia" w:ascii="宋体" w:hAnsi="宋体"/>
                <w:b/>
                <w:color w:val="000000"/>
                <w:sz w:val="20"/>
                <w:szCs w:val="20"/>
              </w:rPr>
              <w:t>质量管理体系过程有：</w:t>
            </w:r>
          </w:p>
          <w:p>
            <w:pPr>
              <w:tabs>
                <w:tab w:val="left" w:pos="540"/>
              </w:tabs>
              <w:spacing w:line="300" w:lineRule="exact"/>
              <w:ind w:left="31680" w:hanging="235" w:hangingChars="100"/>
              <w:rPr>
                <w:rFonts w:hint="eastAsia" w:ascii="宋体" w:hAnsi="宋体"/>
                <w:b/>
                <w:bCs/>
                <w:color w:val="000000"/>
                <w:spacing w:val="12"/>
                <w:sz w:val="21"/>
                <w:szCs w:val="21"/>
              </w:rPr>
            </w:pPr>
            <w:r>
              <w:rPr>
                <w:rFonts w:hint="eastAsia" w:ascii="宋体" w:hAnsi="宋体"/>
                <w:b/>
                <w:bCs/>
                <w:color w:val="000000"/>
                <w:spacing w:val="12"/>
                <w:sz w:val="21"/>
                <w:szCs w:val="21"/>
              </w:rPr>
              <w:t>产品要求信息获取----产品要求评审-----签订合同----采购 -----质检------销售</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销售过程</w:t>
            </w:r>
            <w:r>
              <w:rPr>
                <w:rFonts w:ascii="宋体" w:hAnsi="宋体"/>
                <w:b/>
                <w:color w:val="000000"/>
                <w:sz w:val="20"/>
                <w:szCs w:val="20"/>
                <w:u w:val="single"/>
              </w:rPr>
              <w:t xml:space="preserve">                                                            </w:t>
            </w:r>
            <w:r>
              <w:rPr>
                <w:rFonts w:hint="eastAsia" w:ascii="宋体" w:hAnsi="宋体"/>
                <w:b/>
                <w:color w:val="000000"/>
                <w:sz w:val="20"/>
                <w:szCs w:val="20"/>
                <w:u w:val="single"/>
              </w:rPr>
              <w:t>，</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销售过程</w:t>
            </w:r>
          </w:p>
          <w:p>
            <w:pPr>
              <w:rPr>
                <w:rFonts w:ascii="宋体"/>
                <w:b/>
                <w:color w:val="000000"/>
                <w:szCs w:val="21"/>
              </w:rPr>
            </w:pPr>
            <w:r>
              <w:pict>
                <v:shape id="_x0000_s2050" o:spid="_x0000_s2050" o:spt="32" type="#_x0000_t32" style="position:absolute;left:0pt;margin-left:157.9pt;margin-top:12.75pt;height:0pt;width:261.75pt;z-index:251658240;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ascii="宋体" w:hAnsi="宋体"/>
                <w:b/>
                <w:color w:val="auto"/>
                <w:sz w:val="20"/>
                <w:szCs w:val="20"/>
              </w:rPr>
              <w:t xml:space="preserve">  </w:t>
            </w:r>
            <w:r>
              <w:rPr>
                <w:rFonts w:hint="eastAsia" w:ascii="宋体" w:hAnsi="宋体" w:eastAsia="宋体" w:cs="宋体"/>
                <w:b/>
                <w:bCs/>
                <w:color w:val="auto"/>
                <w:sz w:val="21"/>
                <w:szCs w:val="21"/>
              </w:rPr>
              <w:t>组织按照国标/行标和顾客要求进行</w:t>
            </w:r>
            <w:r>
              <w:rPr>
                <w:b/>
                <w:bCs/>
                <w:color w:val="auto"/>
                <w:sz w:val="20"/>
              </w:rPr>
              <w:t>不锈钢厨房设备、餐具、清洁设备、酒店配套用品、工艺品的销售</w:t>
            </w:r>
            <w:r>
              <w:rPr>
                <w:rFonts w:hint="eastAsia" w:ascii="宋体" w:hAnsi="宋体" w:eastAsia="宋体" w:cs="宋体"/>
                <w:b/>
                <w:bCs/>
                <w:color w:val="auto"/>
                <w:sz w:val="21"/>
                <w:szCs w:val="21"/>
              </w:rPr>
              <w:t>，不需进行产品的设计和开发，因此对标准的8.3条款不适用，且不影响组织提供满足顾客要求和适用法律法规要求的产品的能力或责任，不适用合理。</w:t>
            </w:r>
            <w:r>
              <w:rPr>
                <w:rFonts w:ascii="宋体" w:hAnsi="宋体"/>
                <w:b/>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00" w:lineRule="exact"/>
              <w:rPr>
                <w:b/>
                <w:color w:val="000000"/>
                <w:sz w:val="20"/>
                <w:szCs w:val="20"/>
              </w:rPr>
            </w:pPr>
            <w:r>
              <w:rPr>
                <w:rFonts w:hint="eastAsia"/>
                <w:b/>
                <w:color w:val="000000"/>
                <w:sz w:val="20"/>
                <w:szCs w:val="20"/>
              </w:rPr>
              <w:t>环境因素辨识充分，重要环境因素</w:t>
            </w:r>
            <w:r>
              <w:rPr>
                <w:rFonts w:hint="eastAsia"/>
                <w:b/>
                <w:color w:val="000000"/>
                <w:sz w:val="20"/>
                <w:szCs w:val="20"/>
                <w:lang w:val="en-US" w:eastAsia="zh-CN"/>
              </w:rPr>
              <w:t>二</w:t>
            </w:r>
            <w:r>
              <w:rPr>
                <w:rFonts w:hint="eastAsia"/>
                <w:b/>
                <w:color w:val="000000"/>
                <w:sz w:val="20"/>
                <w:szCs w:val="20"/>
              </w:rPr>
              <w:t>个：固体废弃物、火灾，评价合理，根据环境因素的动态及时变更和控制。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00" w:lineRule="exact"/>
              <w:rPr>
                <w:b/>
                <w:color w:val="000000"/>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三</w:t>
            </w:r>
            <w:r>
              <w:rPr>
                <w:rFonts w:hint="eastAsia" w:ascii="宋体" w:hAnsi="宋体"/>
                <w:b/>
                <w:color w:val="000000"/>
                <w:sz w:val="20"/>
                <w:szCs w:val="20"/>
              </w:rPr>
              <w:t>个：触电、火灾、</w:t>
            </w:r>
            <w:r>
              <w:rPr>
                <w:rFonts w:hint="eastAsia"/>
                <w:b/>
                <w:bCs w:val="0"/>
                <w:color w:val="auto"/>
                <w:sz w:val="20"/>
                <w:lang w:val="en-US" w:eastAsia="zh-CN"/>
              </w:rPr>
              <w:t>意外伤害</w:t>
            </w:r>
            <w:r>
              <w:rPr>
                <w:rFonts w:hint="eastAsia" w:ascii="宋体" w:hAnsi="宋体"/>
                <w:b/>
                <w:bCs w:val="0"/>
                <w:color w:val="000000"/>
                <w:sz w:val="20"/>
                <w:szCs w:val="20"/>
              </w:rPr>
              <w:t>，</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31680" w:hanging="211" w:hangingChars="100"/>
              <w:rPr>
                <w:rFonts w:ascii="宋体"/>
                <w:b/>
                <w:color w:val="000000"/>
                <w:szCs w:val="21"/>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hint="eastAsia" w:ascii="宋体" w:hAnsi="宋体"/>
                <w:b/>
                <w:color w:val="000000"/>
                <w:szCs w:val="21"/>
                <w:lang w:val="en-US" w:eastAsia="zh-CN"/>
              </w:rPr>
              <w:t>48</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法律法规的宣传方式：会议、文件等形式</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法律法规要求及时更新了：公司及时关注每年进行一次法律法律的合规性评价</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400" w:lineRule="exact"/>
              <w:ind w:left="862"/>
              <w:rPr>
                <w:rFonts w:hint="eastAsia" w:ascii="楷体" w:hAnsi="楷体" w:eastAsia="楷体"/>
                <w:b/>
                <w:bCs/>
                <w:color w:val="000000"/>
                <w:sz w:val="21"/>
                <w:szCs w:val="21"/>
              </w:rPr>
            </w:pPr>
            <w:r>
              <w:rPr>
                <w:rFonts w:hint="eastAsia" w:ascii="楷体" w:hAnsi="楷体" w:eastAsia="楷体" w:cs="楷体"/>
                <w:b/>
                <w:bCs/>
                <w:spacing w:val="20"/>
                <w:sz w:val="21"/>
                <w:szCs w:val="21"/>
              </w:rPr>
              <w:t>质量目标</w:t>
            </w:r>
            <w:r>
              <w:rPr>
                <w:rFonts w:hint="eastAsia" w:ascii="宋体" w:hAnsi="宋体"/>
                <w:b/>
                <w:bCs/>
                <w:spacing w:val="20"/>
                <w:sz w:val="21"/>
                <w:szCs w:val="21"/>
              </w:rPr>
              <w:t>：</w:t>
            </w:r>
            <w:r>
              <w:rPr>
                <w:rFonts w:hint="eastAsia" w:ascii="楷体" w:hAnsi="楷体" w:eastAsia="楷体"/>
                <w:b/>
                <w:bCs/>
                <w:color w:val="000000"/>
                <w:sz w:val="21"/>
                <w:szCs w:val="21"/>
              </w:rPr>
              <w:t>1、交货及时率≥95%；</w:t>
            </w:r>
          </w:p>
          <w:p>
            <w:pPr>
              <w:tabs>
                <w:tab w:val="left" w:pos="840"/>
              </w:tabs>
              <w:spacing w:line="480" w:lineRule="exact"/>
              <w:rPr>
                <w:rFonts w:hint="eastAsia" w:ascii="楷体" w:hAnsi="楷体" w:eastAsia="楷体"/>
                <w:b/>
                <w:bCs/>
                <w:color w:val="000000"/>
                <w:sz w:val="21"/>
                <w:szCs w:val="21"/>
              </w:rPr>
            </w:pPr>
            <w:r>
              <w:rPr>
                <w:rFonts w:hint="eastAsia" w:ascii="楷体" w:hAnsi="楷体" w:eastAsia="楷体"/>
                <w:b/>
                <w:bCs/>
                <w:color w:val="000000"/>
                <w:sz w:val="21"/>
                <w:szCs w:val="21"/>
              </w:rPr>
              <w:t xml:space="preserve">              </w:t>
            </w:r>
            <w:r>
              <w:rPr>
                <w:rFonts w:hint="eastAsia" w:ascii="楷体" w:hAnsi="楷体" w:eastAsia="楷体"/>
                <w:b/>
                <w:bCs/>
                <w:color w:val="000000"/>
                <w:sz w:val="21"/>
                <w:szCs w:val="21"/>
                <w:lang w:val="en-US" w:eastAsia="zh-CN"/>
              </w:rPr>
              <w:t xml:space="preserve">      </w:t>
            </w:r>
            <w:r>
              <w:rPr>
                <w:rFonts w:hint="eastAsia" w:ascii="楷体" w:hAnsi="楷体" w:eastAsia="楷体"/>
                <w:b/>
                <w:bCs/>
                <w:color w:val="000000"/>
                <w:sz w:val="21"/>
                <w:szCs w:val="21"/>
              </w:rPr>
              <w:t>2、顾客满意度9</w:t>
            </w:r>
            <w:r>
              <w:rPr>
                <w:rFonts w:hint="eastAsia" w:ascii="楷体" w:hAnsi="楷体" w:eastAsia="楷体"/>
                <w:b/>
                <w:bCs/>
                <w:color w:val="000000"/>
                <w:sz w:val="21"/>
                <w:szCs w:val="21"/>
                <w:lang w:val="en-US" w:eastAsia="zh-CN"/>
              </w:rPr>
              <w:t>2</w:t>
            </w:r>
            <w:r>
              <w:rPr>
                <w:rFonts w:hint="eastAsia" w:ascii="楷体" w:hAnsi="楷体" w:eastAsia="楷体"/>
                <w:b/>
                <w:bCs/>
                <w:color w:val="000000"/>
                <w:sz w:val="21"/>
                <w:szCs w:val="21"/>
              </w:rPr>
              <w:t>分以上；</w:t>
            </w:r>
          </w:p>
          <w:p>
            <w:pPr>
              <w:tabs>
                <w:tab w:val="left" w:pos="840"/>
              </w:tabs>
              <w:spacing w:line="480" w:lineRule="exact"/>
              <w:ind w:firstLine="843" w:firstLineChars="400"/>
              <w:rPr>
                <w:rFonts w:hint="eastAsia" w:ascii="楷体" w:hAnsi="楷体" w:eastAsia="楷体"/>
                <w:color w:val="000000"/>
                <w:sz w:val="21"/>
                <w:szCs w:val="21"/>
              </w:rPr>
            </w:pPr>
            <w:r>
              <w:rPr>
                <w:rFonts w:hint="eastAsia" w:ascii="楷体" w:hAnsi="楷体" w:eastAsia="楷体"/>
                <w:b/>
                <w:bCs/>
                <w:color w:val="000000"/>
                <w:sz w:val="21"/>
                <w:szCs w:val="21"/>
              </w:rPr>
              <w:t>环境目标：固体废弃物分类处理率100%；</w:t>
            </w:r>
          </w:p>
          <w:p>
            <w:pPr>
              <w:tabs>
                <w:tab w:val="left" w:pos="840"/>
              </w:tabs>
              <w:spacing w:line="480" w:lineRule="exact"/>
              <w:ind w:firstLine="843" w:firstLineChars="400"/>
              <w:rPr>
                <w:rFonts w:hint="eastAsia" w:ascii="楷体" w:hAnsi="楷体" w:eastAsia="楷体"/>
                <w:b/>
                <w:bCs/>
                <w:color w:val="000000"/>
                <w:sz w:val="21"/>
                <w:szCs w:val="21"/>
              </w:rPr>
            </w:pPr>
            <w:r>
              <w:rPr>
                <w:rFonts w:hint="eastAsia" w:ascii="楷体" w:hAnsi="楷体" w:eastAsia="楷体"/>
                <w:b/>
                <w:bCs/>
                <w:color w:val="000000"/>
                <w:sz w:val="21"/>
                <w:szCs w:val="21"/>
              </w:rPr>
              <w:t>职业健康安全目标：火灾事故未0；交通意外伤害为零。</w:t>
            </w:r>
          </w:p>
          <w:p>
            <w:pPr>
              <w:spacing w:line="240" w:lineRule="exact"/>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公司编制《文件化信息管理程序》以控制三标一体化管理体系和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lang w:val="en-US" w:eastAsia="zh-CN"/>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w:t>
            </w:r>
            <w:r>
              <w:rPr>
                <w:rFonts w:hint="eastAsia" w:ascii="宋体" w:hAnsi="宋体"/>
                <w:sz w:val="20"/>
                <w:szCs w:val="20"/>
                <w:lang w:val="en-US" w:eastAsia="zh-CN"/>
              </w:rPr>
              <w:t>行政部</w:t>
            </w:r>
            <w:r>
              <w:rPr>
                <w:rFonts w:hint="eastAsia" w:ascii="宋体" w:hAnsi="宋体"/>
                <w:sz w:val="20"/>
                <w:szCs w:val="20"/>
              </w:rPr>
              <w:t>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360" w:lineRule="auto"/>
              <w:ind w:firstLine="400" w:firstLineChars="200"/>
              <w:rPr>
                <w:rFonts w:ascii="宋体"/>
                <w:sz w:val="20"/>
                <w:szCs w:val="20"/>
              </w:rPr>
            </w:pPr>
            <w:r>
              <w:rPr>
                <w:rFonts w:hint="eastAsia" w:ascii="宋体" w:hAnsi="宋体"/>
                <w:sz w:val="20"/>
                <w:szCs w:val="20"/>
              </w:rPr>
              <w:t>公司编制《基础设施管理程序》，确定、提供并维护所需的基础设施，以运行过程并获得合格产品和服务。所需的基础设施包括：建筑物和相关设施、设备（包括硬件和软件）、运输资源、信息和</w:t>
            </w:r>
            <w:r>
              <w:rPr>
                <w:rFonts w:hint="eastAsia" w:ascii="宋体" w:hAnsi="宋体"/>
                <w:sz w:val="20"/>
                <w:szCs w:val="20"/>
                <w:lang w:val="en-US" w:eastAsia="zh-CN"/>
              </w:rPr>
              <w:t>服装机枪设备及配件</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lang w:val="en-US" w:eastAsia="zh-CN"/>
              </w:rPr>
              <w:t>综合部</w:t>
            </w:r>
            <w:r>
              <w:rPr>
                <w:rFonts w:hint="eastAsia" w:ascii="宋体" w:hAnsi="宋体"/>
                <w:sz w:val="20"/>
                <w:szCs w:val="20"/>
              </w:rPr>
              <w:t>负责保留作为监视和测量资源适合其用途的证据的形成文件的信息。</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w:t>
            </w:r>
            <w:r>
              <w:rPr>
                <w:rFonts w:hint="eastAsia" w:ascii="宋体" w:hAnsi="宋体"/>
                <w:sz w:val="20"/>
                <w:szCs w:val="20"/>
                <w:lang w:val="en-US" w:eastAsia="zh-CN"/>
              </w:rPr>
              <w:t>综合部</w:t>
            </w:r>
            <w:r>
              <w:rPr>
                <w:rFonts w:hint="eastAsia" w:ascii="宋体" w:hAnsi="宋体"/>
                <w:sz w:val="20"/>
                <w:szCs w:val="20"/>
              </w:rPr>
              <w:t>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r>
              <w:rPr>
                <w:rFonts w:hint="eastAsia" w:ascii="宋体" w:hAnsi="宋体"/>
                <w:b/>
                <w:color w:val="000000"/>
                <w:sz w:val="20"/>
                <w:szCs w:val="20"/>
                <w:lang w:val="en-US" w:eastAsia="zh-CN"/>
              </w:rPr>
              <w:t>消防栓</w:t>
            </w:r>
            <w:r>
              <w:rPr>
                <w:rFonts w:hint="eastAsia" w:ascii="宋体" w:hAnsi="宋体"/>
                <w:b/>
                <w:color w:val="000000"/>
                <w:sz w:val="20"/>
                <w:szCs w:val="20"/>
                <w:lang w:eastAsia="zh-CN"/>
              </w:rPr>
              <w:t>、</w:t>
            </w:r>
            <w:r>
              <w:rPr>
                <w:rFonts w:hint="eastAsia" w:ascii="宋体" w:hAnsi="宋体"/>
                <w:b/>
                <w:color w:val="000000"/>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内部沟通的情况：内部沟通方式：文件、开会、微信等</w:t>
            </w:r>
          </w:p>
          <w:p>
            <w:pPr>
              <w:spacing w:line="240" w:lineRule="exact"/>
              <w:rPr>
                <w:rFonts w:ascii="楷体_GB2312" w:eastAsia="楷体_GB2312"/>
                <w:b/>
                <w:color w:val="000000"/>
                <w:sz w:val="20"/>
                <w:szCs w:val="20"/>
              </w:rPr>
            </w:pPr>
            <w:r>
              <w:rPr>
                <w:rFonts w:ascii="楷体_GB2312" w:eastAsia="楷体_GB2312"/>
                <w:b/>
                <w:color w:val="000000"/>
                <w:sz w:val="20"/>
                <w:szCs w:val="20"/>
              </w:rPr>
              <w:t xml:space="preserve">                </w:t>
            </w:r>
            <w:r>
              <w:rPr>
                <w:rFonts w:hint="eastAsia" w:ascii="楷体_GB2312" w:eastAsia="楷体_GB2312"/>
                <w:b/>
                <w:color w:val="000000"/>
                <w:sz w:val="20"/>
                <w:szCs w:val="20"/>
              </w:rPr>
              <w:t>内部沟通的效果：有效</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组织对外联络，关注顾客的感受情况（</w:t>
            </w:r>
            <w:r>
              <w:rPr>
                <w:rFonts w:ascii="楷体_GB2312" w:eastAsia="楷体_GB2312"/>
                <w:b/>
                <w:color w:val="000000"/>
                <w:sz w:val="20"/>
                <w:szCs w:val="20"/>
              </w:rPr>
              <w:t>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sz w:val="20"/>
                <w:szCs w:val="20"/>
              </w:rPr>
            </w:pPr>
          </w:p>
          <w:p>
            <w:pPr>
              <w:spacing w:line="360" w:lineRule="auto"/>
              <w:ind w:firstLine="402" w:firstLineChars="200"/>
              <w:rPr>
                <w:rFonts w:ascii="宋体"/>
                <w:sz w:val="20"/>
                <w:szCs w:val="20"/>
              </w:rPr>
            </w:pPr>
            <w:r>
              <w:rPr>
                <w:rFonts w:hint="eastAsia" w:ascii="楷体_GB2312" w:eastAsia="楷体_GB2312"/>
                <w:b/>
                <w:color w:val="000000"/>
                <w:sz w:val="20"/>
                <w:szCs w:val="20"/>
              </w:rPr>
              <w:t>外部信息的接收、成文并答复的情况（</w:t>
            </w:r>
            <w:r>
              <w:rPr>
                <w:rFonts w:ascii="楷体_GB2312" w:eastAsia="楷体_GB2312"/>
                <w:b/>
                <w:color w:val="000000"/>
                <w:sz w:val="20"/>
                <w:szCs w:val="20"/>
              </w:rPr>
              <w:t>E</w:t>
            </w:r>
            <w:r>
              <w:rPr>
                <w:rFonts w:hint="eastAsia" w:ascii="楷体_GB2312" w:eastAsia="楷体_GB2312"/>
                <w:b/>
                <w:color w:val="000000"/>
                <w:sz w:val="20"/>
                <w:szCs w:val="20"/>
              </w:rPr>
              <w:t>、</w:t>
            </w:r>
            <w:r>
              <w:rPr>
                <w:rFonts w:ascii="楷体_GB2312" w:eastAsia="楷体_GB2312"/>
                <w:b/>
                <w:color w:val="000000"/>
                <w:sz w:val="20"/>
                <w:szCs w:val="20"/>
              </w:rPr>
              <w:t>S</w:t>
            </w:r>
            <w:r>
              <w:rPr>
                <w:rFonts w:hint="eastAsia" w:ascii="楷体_GB2312" w:eastAsia="楷体_GB2312"/>
                <w:b/>
                <w:color w:val="000000"/>
                <w:sz w:val="20"/>
                <w:szCs w:val="20"/>
              </w:rPr>
              <w:t>填写）：</w:t>
            </w:r>
            <w:r>
              <w:rPr>
                <w:rFonts w:hint="eastAsia" w:ascii="楷体" w:hAnsi="楷体" w:eastAsia="楷体" w:cs="楷体"/>
                <w:b w:val="0"/>
                <w:bCs/>
                <w:color w:val="000000"/>
                <w:sz w:val="20"/>
                <w:szCs w:val="20"/>
                <w:lang w:val="en-US" w:eastAsia="zh-CN"/>
              </w:rPr>
              <w:t>行政部</w:t>
            </w:r>
            <w:r>
              <w:rPr>
                <w:rFonts w:hint="eastAsia" w:ascii="宋体" w:hAnsi="宋体"/>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重要环境因素信息对外交流情况（</w:t>
            </w:r>
            <w:r>
              <w:rPr>
                <w:rFonts w:ascii="楷体_GB2312" w:eastAsia="楷体_GB2312"/>
                <w:b/>
                <w:color w:val="000000"/>
                <w:sz w:val="20"/>
                <w:szCs w:val="20"/>
              </w:rPr>
              <w:t>EMS</w:t>
            </w:r>
            <w:r>
              <w:rPr>
                <w:rFonts w:hint="eastAsia" w:ascii="楷体_GB2312" w:eastAsia="楷体_GB2312"/>
                <w:b/>
                <w:color w:val="000000"/>
                <w:sz w:val="20"/>
                <w:szCs w:val="20"/>
              </w:rPr>
              <w:t>填写）：告之员工和外来人员并张贴警示标记。</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ascii="楷体_GB2312" w:eastAsia="楷体_GB2312"/>
                <w:b/>
                <w:color w:val="000000"/>
                <w:sz w:val="20"/>
                <w:szCs w:val="20"/>
              </w:rPr>
              <w:t>OHSMS</w:t>
            </w:r>
            <w:r>
              <w:rPr>
                <w:rFonts w:hint="eastAsia" w:ascii="楷体_GB2312" w:eastAsia="楷体_GB2312"/>
                <w:b/>
                <w:color w:val="000000"/>
                <w:sz w:val="20"/>
                <w:szCs w:val="20"/>
              </w:rPr>
              <w:t>事务代表协商和交流的情况（</w:t>
            </w:r>
            <w:r>
              <w:rPr>
                <w:rFonts w:ascii="楷体_GB2312" w:eastAsia="楷体_GB2312"/>
                <w:b/>
                <w:color w:val="000000"/>
                <w:sz w:val="20"/>
                <w:szCs w:val="20"/>
              </w:rPr>
              <w:t>OHSMS</w:t>
            </w:r>
            <w:r>
              <w:rPr>
                <w:rFonts w:hint="eastAsia" w:ascii="楷体_GB2312" w:eastAsia="楷体_GB2312"/>
                <w:b/>
                <w:color w:val="000000"/>
                <w:sz w:val="20"/>
                <w:szCs w:val="20"/>
              </w:rPr>
              <w:t>填写）：告之员工谁是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szCs w:val="21"/>
              </w:rPr>
            </w:pPr>
            <w:r>
              <w:rPr>
                <w:rFonts w:hint="eastAsia" w:ascii="楷体_GB2312" w:eastAsia="楷体_GB2312"/>
                <w:b/>
                <w:color w:val="000000"/>
                <w:szCs w:val="21"/>
              </w:rPr>
              <w:t>与相关方协商的情况（</w:t>
            </w:r>
            <w:r>
              <w:rPr>
                <w:rFonts w:ascii="楷体_GB2312" w:eastAsia="楷体_GB2312"/>
                <w:b/>
                <w:color w:val="000000"/>
                <w:szCs w:val="21"/>
              </w:rPr>
              <w:t>OHSMS</w:t>
            </w:r>
            <w:r>
              <w:rPr>
                <w:rFonts w:hint="eastAsia" w:ascii="楷体_GB2312" w:eastAsia="楷体_GB2312"/>
                <w:b/>
                <w:color w:val="000000"/>
                <w:szCs w:val="21"/>
              </w:rPr>
              <w:t>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pPr>
            <w:r>
              <w:t xml:space="preserve">3.  QMS </w:t>
            </w:r>
            <w:r>
              <w:rPr>
                <w:rFonts w:hint="eastAsia"/>
              </w:rPr>
              <w:t>组织对重要过程实施控制的结果</w:t>
            </w:r>
          </w:p>
          <w:p>
            <w:pPr>
              <w:spacing w:line="240" w:lineRule="auto"/>
              <w:ind w:left="193" w:leftChars="42" w:hanging="105"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auto"/>
              <w:rPr>
                <w:rFonts w:hint="eastAsia"/>
              </w:rPr>
            </w:pPr>
            <w:r>
              <w:rPr>
                <w:rFonts w:hint="eastAsia"/>
              </w:rPr>
              <w:t>销售为重要过程，公司实施严格控制，做好采购产品的质量控制，效果明显，未发生质量纠纷。</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rPr>
                <w:rFonts w:hint="eastAsia" w:eastAsia="宋体"/>
                <w:b/>
                <w:color w:val="000000"/>
                <w:sz w:val="20"/>
                <w:szCs w:val="20"/>
                <w:lang w:val="en-US" w:eastAsia="zh-CN"/>
              </w:rPr>
            </w:pPr>
            <w:r>
              <w:rPr>
                <w:rFonts w:hint="eastAsia"/>
                <w:b/>
                <w:color w:val="000000"/>
                <w:sz w:val="20"/>
                <w:szCs w:val="20"/>
              </w:rPr>
              <w:t>企业采用标准：</w:t>
            </w:r>
            <w:r>
              <w:rPr>
                <w:rFonts w:hint="eastAsia" w:ascii="宋体" w:hAnsi="宋体"/>
                <w:sz w:val="21"/>
                <w:szCs w:val="21"/>
              </w:rPr>
              <w:t>《一次性使用卫生用品卫生标准》GB15979-2002</w:t>
            </w:r>
            <w:r>
              <w:rPr>
                <w:rFonts w:hint="eastAsia"/>
                <w:sz w:val="21"/>
                <w:szCs w:val="21"/>
                <w:lang w:val="en-US" w:eastAsia="zh-CN"/>
              </w:rPr>
              <w:t>等</w:t>
            </w:r>
          </w:p>
          <w:p>
            <w:pPr>
              <w:spacing w:line="300" w:lineRule="exact"/>
              <w:rPr>
                <w:b/>
                <w:color w:val="000000"/>
                <w:sz w:val="20"/>
                <w:szCs w:val="20"/>
              </w:rPr>
            </w:pPr>
            <w:r>
              <w:rPr>
                <w:rFonts w:hint="eastAsia"/>
                <w:b/>
                <w:color w:val="000000"/>
                <w:sz w:val="20"/>
                <w:szCs w:val="20"/>
              </w:rPr>
              <w:t>企业制定的《销售服务规范》、《原材料入库检验办法》</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360" w:lineRule="auto"/>
              <w:ind w:firstLine="400" w:firstLineChars="200"/>
              <w:rPr>
                <w:rFonts w:ascii="宋体"/>
                <w:sz w:val="20"/>
                <w:szCs w:val="20"/>
              </w:rPr>
            </w:pPr>
            <w:r>
              <w:rPr>
                <w:rFonts w:hint="eastAsia" w:ascii="宋体" w:hAnsi="宋体"/>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7. EMS</w:t>
            </w:r>
            <w:r>
              <w:rPr>
                <w:rFonts w:hint="eastAsia"/>
              </w:rPr>
              <w:t>组织对重要环境因素实施控制的结果</w:t>
            </w:r>
          </w:p>
          <w:p>
            <w:pPr>
              <w:spacing w:line="240" w:lineRule="exact"/>
            </w:pPr>
            <w:r>
              <w:rPr>
                <w:rFonts w:hint="eastAsia"/>
              </w:rPr>
              <w:t>（</w:t>
            </w:r>
            <w:r>
              <w:t>EMS</w:t>
            </w:r>
            <w:r>
              <w:rPr>
                <w:rFonts w:hint="eastAsia"/>
              </w:rPr>
              <w:t>对重要环境因素控制，重大环境因素对周边环境产生的影响及控制</w:t>
            </w:r>
            <w:r>
              <w:t>;</w:t>
            </w:r>
            <w:r>
              <w:rPr>
                <w:rFonts w:hint="eastAsia"/>
              </w:rPr>
              <w:t>对相关方施加影响）</w:t>
            </w:r>
          </w:p>
          <w:p>
            <w:pPr>
              <w:spacing w:line="240" w:lineRule="exact"/>
              <w:rPr>
                <w:rFonts w:hint="eastAsia"/>
                <w:sz w:val="21"/>
                <w:szCs w:val="21"/>
              </w:rPr>
            </w:pPr>
            <w:r>
              <w:rPr>
                <w:rFonts w:hint="eastAsia"/>
                <w:sz w:val="21"/>
                <w:szCs w:val="21"/>
              </w:rPr>
              <w:t>公司重要环境因素控制有效，未对周边环境和相关方产生任何影响。</w:t>
            </w:r>
          </w:p>
          <w:p>
            <w:pPr>
              <w:spacing w:before="120" w:line="240" w:lineRule="auto"/>
              <w:ind w:firstLine="420" w:firstLineChars="200"/>
            </w:pPr>
            <w:r>
              <w:rPr>
                <w:rFonts w:hint="eastAsia" w:ascii="方正仿宋简体" w:eastAsia="方正仿宋简体"/>
                <w:b w:val="0"/>
                <w:bCs/>
              </w:rPr>
              <w:t>在仓库现场巡察时，发现一个消防栓被货物遮挡、挤占消防通道；一个灭火器指针指向红色区域，处于失效状态，与要求不符。</w:t>
            </w:r>
            <w:r>
              <w:rPr>
                <w:rFonts w:hint="eastAsia" w:ascii="方正仿宋简体" w:eastAsia="方正仿宋简体"/>
                <w:b w:val="0"/>
                <w:bCs/>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8. OHSMS</w:t>
            </w:r>
            <w:r>
              <w:rPr>
                <w:rFonts w:hint="eastAsia"/>
              </w:rPr>
              <w:t>组织对不可接受风险实施控制的结果</w:t>
            </w:r>
          </w:p>
          <w:p>
            <w:pPr>
              <w:spacing w:line="240" w:lineRule="exact"/>
              <w:rPr>
                <w:rFonts w:hint="eastAsia"/>
              </w:rPr>
            </w:pPr>
            <w:r>
              <w:rPr>
                <w:rFonts w:hint="eastAsia"/>
              </w:rPr>
              <w:t>火灾、触电</w:t>
            </w:r>
            <w:r>
              <w:rPr>
                <w:rFonts w:hint="eastAsia"/>
                <w:lang w:eastAsia="zh-CN"/>
              </w:rPr>
              <w:t>、</w:t>
            </w:r>
            <w:r>
              <w:rPr>
                <w:rFonts w:hint="eastAsia"/>
                <w:lang w:val="en-US" w:eastAsia="zh-CN"/>
              </w:rPr>
              <w:t>意外伤害</w:t>
            </w:r>
            <w:r>
              <w:rPr>
                <w:rFonts w:hint="eastAsia"/>
              </w:rPr>
              <w:t>不可接受风险控制有效，从未发生任何事故。</w:t>
            </w:r>
          </w:p>
          <w:p>
            <w:pPr>
              <w:spacing w:before="120" w:line="240" w:lineRule="auto"/>
              <w:ind w:firstLine="420" w:firstLineChars="200"/>
              <w:rPr>
                <w:rFonts w:ascii="方正仿宋简体" w:eastAsia="方正仿宋简体"/>
                <w:b/>
                <w:sz w:val="21"/>
                <w:szCs w:val="21"/>
              </w:rPr>
            </w:pPr>
            <w:r>
              <w:rPr>
                <w:rFonts w:hint="eastAsia" w:ascii="方正仿宋简体" w:eastAsia="方正仿宋简体"/>
                <w:b w:val="0"/>
                <w:bCs/>
              </w:rPr>
              <w:t>在仓库现场巡察时，发现一个消防栓被货物遮挡、挤占消防通道；一个灭火器指针指向红色区域，处于失效状态，与要求不符。</w:t>
            </w:r>
            <w:r>
              <w:rPr>
                <w:rFonts w:hint="eastAsia" w:ascii="方正仿宋简体" w:eastAsia="方正仿宋简体"/>
                <w:b w:val="0"/>
                <w:bCs/>
                <w:lang w:val="en-US" w:eastAsia="zh-CN"/>
              </w:rPr>
              <w:t>开具了不符合。</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384" w:firstLineChars="200"/>
              <w:rPr>
                <w:b/>
                <w:color w:val="000000"/>
                <w:spacing w:val="-4"/>
                <w:sz w:val="20"/>
                <w:szCs w:val="20"/>
              </w:rPr>
            </w:pPr>
            <w:r>
              <w:rPr>
                <w:rFonts w:hint="eastAsia"/>
                <w:color w:val="auto"/>
                <w:spacing w:val="-4"/>
                <w:sz w:val="20"/>
                <w:szCs w:val="20"/>
              </w:rPr>
              <w:t>编制了火灾、触电应急救援预案，在</w:t>
            </w:r>
            <w:r>
              <w:rPr>
                <w:rFonts w:ascii="宋体" w:hAnsi="宋体" w:cs="宋体"/>
                <w:color w:val="auto"/>
                <w:szCs w:val="21"/>
                <w:lang w:val="en-GB"/>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号进行</w:t>
            </w:r>
            <w:r>
              <w:rPr>
                <w:rFonts w:hint="eastAsia" w:ascii="宋体" w:hAnsi="宋体" w:cs="宋体"/>
                <w:color w:val="auto"/>
                <w:szCs w:val="21"/>
                <w:lang w:val="en-US" w:eastAsia="zh-CN"/>
              </w:rPr>
              <w:t>火灾</w:t>
            </w:r>
            <w:r>
              <w:rPr>
                <w:rFonts w:hint="eastAsia" w:ascii="宋体" w:hAnsi="宋体" w:cs="宋体"/>
                <w:color w:val="auto"/>
                <w:szCs w:val="21"/>
              </w:rPr>
              <w:t>应急演练，</w:t>
            </w:r>
            <w:r>
              <w:rPr>
                <w:rFonts w:ascii="宋体" w:hAnsi="宋体" w:cs="宋体"/>
                <w:color w:val="auto"/>
                <w:szCs w:val="21"/>
                <w:lang w:val="en-GB"/>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号进行</w:t>
            </w:r>
            <w:r>
              <w:rPr>
                <w:rFonts w:hint="eastAsia" w:ascii="宋体" w:hAnsi="宋体" w:cs="宋体"/>
                <w:color w:val="auto"/>
                <w:szCs w:val="21"/>
                <w:lang w:val="en-US" w:eastAsia="zh-CN"/>
              </w:rPr>
              <w:t>触电</w:t>
            </w:r>
            <w:r>
              <w:rPr>
                <w:rFonts w:hint="eastAsia" w:ascii="宋体" w:hAnsi="宋体" w:cs="宋体"/>
                <w:color w:val="auto"/>
                <w:szCs w:val="21"/>
              </w:rPr>
              <w:t>应急演练，由</w:t>
            </w:r>
            <w:r>
              <w:rPr>
                <w:rFonts w:hint="eastAsia" w:ascii="宋体" w:hAnsi="宋体" w:cs="宋体"/>
                <w:color w:val="auto"/>
                <w:szCs w:val="21"/>
                <w:lang w:val="en-US" w:eastAsia="zh-CN"/>
              </w:rPr>
              <w:t>综合</w:t>
            </w:r>
            <w:r>
              <w:rPr>
                <w:rFonts w:hint="eastAsia" w:ascii="宋体" w:hAnsi="宋体" w:cs="宋体"/>
                <w:color w:val="auto"/>
                <w:szCs w:val="21"/>
              </w:rPr>
              <w:t>部统一组织，公司全体人员参加</w:t>
            </w:r>
            <w:r>
              <w:rPr>
                <w:rFonts w:hint="eastAsia" w:ascii="宋体" w:hAnsi="宋体"/>
                <w:color w:val="auto"/>
                <w:sz w:val="21"/>
                <w:szCs w:val="21"/>
              </w:rPr>
              <w:t>，并对有效性做评价。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3168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r>
              <w:rPr>
                <w:rFonts w:hint="eastAsia"/>
                <w:b/>
                <w:color w:val="000000"/>
                <w:sz w:val="20"/>
                <w:szCs w:val="20"/>
              </w:rPr>
              <w:t>每</w:t>
            </w:r>
            <w:r>
              <w:rPr>
                <w:rFonts w:hint="eastAsia"/>
                <w:b/>
                <w:color w:val="000000"/>
                <w:sz w:val="20"/>
                <w:szCs w:val="20"/>
                <w:lang w:val="en-US" w:eastAsia="zh-CN"/>
              </w:rPr>
              <w:t>季度</w:t>
            </w:r>
            <w:r>
              <w:rPr>
                <w:rFonts w:hint="eastAsia"/>
                <w:b/>
                <w:color w:val="000000"/>
                <w:sz w:val="20"/>
                <w:szCs w:val="20"/>
              </w:rPr>
              <w:t>对一体化目标进行定期检查考核，考核部门：</w:t>
            </w:r>
            <w:r>
              <w:rPr>
                <w:rFonts w:hint="eastAsia"/>
                <w:b/>
                <w:color w:val="000000"/>
                <w:sz w:val="20"/>
                <w:szCs w:val="20"/>
                <w:lang w:val="en-US" w:eastAsia="zh-CN"/>
              </w:rPr>
              <w:t>综合</w:t>
            </w:r>
            <w:r>
              <w:rPr>
                <w:rFonts w:hint="eastAsia"/>
                <w:b/>
                <w:color w:val="000000"/>
                <w:sz w:val="20"/>
                <w:szCs w:val="20"/>
              </w:rPr>
              <w:t>部、</w:t>
            </w:r>
            <w:r>
              <w:rPr>
                <w:rFonts w:hint="eastAsia"/>
                <w:b/>
                <w:color w:val="000000"/>
                <w:sz w:val="20"/>
                <w:szCs w:val="20"/>
                <w:lang w:val="en-US" w:eastAsia="zh-CN"/>
              </w:rPr>
              <w:t>采购</w:t>
            </w:r>
            <w:r>
              <w:rPr>
                <w:rFonts w:hint="eastAsia"/>
                <w:b/>
                <w:color w:val="000000"/>
                <w:sz w:val="20"/>
                <w:szCs w:val="20"/>
              </w:rPr>
              <w:t>部、</w:t>
            </w:r>
            <w:r>
              <w:rPr>
                <w:rFonts w:hint="eastAsia"/>
                <w:b/>
                <w:color w:val="000000"/>
                <w:sz w:val="20"/>
                <w:szCs w:val="20"/>
                <w:lang w:val="en-US" w:eastAsia="zh-CN"/>
              </w:rPr>
              <w:t>销售</w:t>
            </w:r>
            <w:r>
              <w:rPr>
                <w:rFonts w:hint="eastAsia"/>
                <w:b/>
                <w:color w:val="000000"/>
                <w:sz w:val="20"/>
                <w:szCs w:val="20"/>
              </w:rPr>
              <w:t>部，从检查的情况看，均能完成目标指标。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3168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240" w:lineRule="exact"/>
              <w:ind w:left="31680" w:hanging="100" w:hangingChars="50"/>
              <w:rPr>
                <w:b/>
                <w:color w:val="000000"/>
                <w:sz w:val="20"/>
                <w:szCs w:val="20"/>
              </w:rPr>
            </w:pPr>
            <w:r>
              <w:rPr>
                <w:b/>
                <w:color w:val="auto"/>
                <w:sz w:val="20"/>
                <w:szCs w:val="20"/>
              </w:rPr>
              <w:t>20</w:t>
            </w:r>
            <w:r>
              <w:rPr>
                <w:rFonts w:hint="eastAsia"/>
                <w:b/>
                <w:color w:val="auto"/>
                <w:sz w:val="20"/>
                <w:szCs w:val="20"/>
                <w:lang w:val="en-US" w:eastAsia="zh-CN"/>
              </w:rPr>
              <w:t>20</w:t>
            </w:r>
            <w:r>
              <w:rPr>
                <w:rFonts w:hint="eastAsia"/>
                <w:b/>
                <w:color w:val="auto"/>
                <w:sz w:val="20"/>
                <w:szCs w:val="20"/>
              </w:rPr>
              <w:t>年</w:t>
            </w:r>
            <w:r>
              <w:rPr>
                <w:rFonts w:hint="eastAsia"/>
                <w:b/>
                <w:color w:val="auto"/>
                <w:sz w:val="20"/>
                <w:szCs w:val="20"/>
                <w:lang w:val="en-US" w:eastAsia="zh-CN"/>
              </w:rPr>
              <w:t>7</w:t>
            </w:r>
            <w:r>
              <w:rPr>
                <w:rFonts w:hint="eastAsia"/>
                <w:b/>
                <w:color w:val="auto"/>
                <w:sz w:val="20"/>
                <w:szCs w:val="20"/>
              </w:rPr>
              <w:t>月</w:t>
            </w:r>
            <w:r>
              <w:rPr>
                <w:rFonts w:hint="eastAsia"/>
                <w:b/>
                <w:color w:val="auto"/>
                <w:sz w:val="20"/>
                <w:szCs w:val="20"/>
                <w:lang w:val="en-US" w:eastAsia="zh-CN"/>
              </w:rPr>
              <w:t>2-7</w:t>
            </w:r>
            <w:r>
              <w:rPr>
                <w:rFonts w:hint="eastAsia"/>
                <w:b/>
                <w:color w:val="auto"/>
                <w:sz w:val="20"/>
                <w:szCs w:val="20"/>
              </w:rPr>
              <w:t>日共发出顾客满意度调查表</w:t>
            </w:r>
            <w:r>
              <w:rPr>
                <w:rFonts w:hint="eastAsia"/>
                <w:b/>
                <w:color w:val="auto"/>
                <w:sz w:val="20"/>
                <w:szCs w:val="20"/>
                <w:lang w:val="en-US" w:eastAsia="zh-CN"/>
              </w:rPr>
              <w:t>6</w:t>
            </w:r>
            <w:r>
              <w:rPr>
                <w:rFonts w:hint="eastAsia"/>
                <w:b/>
                <w:color w:val="auto"/>
                <w:sz w:val="20"/>
                <w:szCs w:val="20"/>
              </w:rPr>
              <w:t>份，回收</w:t>
            </w:r>
            <w:r>
              <w:rPr>
                <w:rFonts w:hint="eastAsia"/>
                <w:b/>
                <w:color w:val="auto"/>
                <w:sz w:val="20"/>
                <w:szCs w:val="20"/>
                <w:lang w:val="en-US" w:eastAsia="zh-CN"/>
              </w:rPr>
              <w:t>6</w:t>
            </w:r>
            <w:r>
              <w:rPr>
                <w:rFonts w:hint="eastAsia"/>
                <w:b/>
                <w:color w:val="auto"/>
                <w:sz w:val="20"/>
                <w:szCs w:val="20"/>
              </w:rPr>
              <w:t>份，顾客名称：</w:t>
            </w:r>
            <w:r>
              <w:rPr>
                <w:rFonts w:hint="eastAsia" w:ascii="宋体" w:hAnsi="宋体" w:cs="宋体"/>
                <w:color w:val="auto"/>
                <w:sz w:val="21"/>
                <w:szCs w:val="21"/>
                <w:lang w:val="en-US" w:eastAsia="zh-CN"/>
              </w:rPr>
              <w:t>赣州章江宾馆有限公司</w:t>
            </w:r>
            <w:r>
              <w:rPr>
                <w:color w:val="auto"/>
                <w:sz w:val="21"/>
                <w:szCs w:val="21"/>
              </w:rPr>
              <w:t xml:space="preserve"> </w:t>
            </w:r>
            <w:r>
              <w:rPr>
                <w:rFonts w:hint="eastAsia" w:ascii="宋体" w:hAnsi="宋体"/>
                <w:color w:val="auto"/>
                <w:sz w:val="21"/>
                <w:szCs w:val="21"/>
                <w:lang w:eastAsia="zh-CN"/>
              </w:rPr>
              <w:t>、</w:t>
            </w:r>
            <w:r>
              <w:rPr>
                <w:rFonts w:hint="eastAsia" w:ascii="宋体" w:hAnsi="宋体" w:cs="宋体"/>
                <w:color w:val="auto"/>
                <w:sz w:val="21"/>
                <w:szCs w:val="21"/>
                <w:lang w:val="en-US" w:eastAsia="zh-CN"/>
              </w:rPr>
              <w:t>江西军工思波酒店管理有限公司</w:t>
            </w:r>
            <w:r>
              <w:rPr>
                <w:rFonts w:hint="eastAsia" w:ascii="宋体" w:hAnsi="宋体" w:eastAsia="宋体" w:cs="宋体"/>
                <w:i w:val="0"/>
                <w:color w:val="auto"/>
                <w:kern w:val="0"/>
                <w:sz w:val="21"/>
                <w:szCs w:val="21"/>
                <w:u w:val="none"/>
                <w:lang w:val="en-US" w:eastAsia="zh-CN" w:bidi="ar"/>
              </w:rPr>
              <w:t>、</w:t>
            </w:r>
            <w:r>
              <w:rPr>
                <w:rFonts w:hint="eastAsia" w:ascii="宋体" w:hAnsi="宋体" w:cs="宋体"/>
                <w:color w:val="auto"/>
                <w:sz w:val="21"/>
                <w:szCs w:val="21"/>
                <w:lang w:val="en-US" w:eastAsia="zh-CN"/>
              </w:rPr>
              <w:t>吉安市人民政府驻南昌办事处</w:t>
            </w:r>
            <w:r>
              <w:rPr>
                <w:rFonts w:hint="eastAsia" w:ascii="宋体" w:hAnsi="宋体"/>
                <w:color w:val="auto"/>
                <w:sz w:val="21"/>
                <w:szCs w:val="21"/>
                <w:lang w:val="en-US" w:eastAsia="zh-CN"/>
              </w:rPr>
              <w:t>、</w:t>
            </w:r>
            <w:r>
              <w:rPr>
                <w:rFonts w:hint="eastAsia" w:ascii="宋体" w:hAnsi="宋体" w:cs="宋体"/>
                <w:color w:val="auto"/>
                <w:sz w:val="21"/>
                <w:szCs w:val="21"/>
                <w:lang w:val="en-US" w:eastAsia="zh-CN"/>
              </w:rPr>
              <w:t>高安市新校建设办公室、江西省现代农业博览园有限公司等</w:t>
            </w:r>
            <w:r>
              <w:rPr>
                <w:rFonts w:hint="eastAsia"/>
                <w:b/>
                <w:color w:val="auto"/>
                <w:sz w:val="21"/>
                <w:szCs w:val="21"/>
              </w:rPr>
              <w:t>，</w:t>
            </w:r>
            <w:r>
              <w:rPr>
                <w:rFonts w:hint="eastAsia"/>
                <w:b w:val="0"/>
                <w:bCs/>
                <w:color w:val="auto"/>
                <w:sz w:val="21"/>
                <w:szCs w:val="21"/>
              </w:rPr>
              <w:t>得分为</w:t>
            </w:r>
            <w:r>
              <w:rPr>
                <w:rFonts w:hint="eastAsia"/>
                <w:b w:val="0"/>
                <w:bCs/>
                <w:color w:val="auto"/>
                <w:sz w:val="21"/>
                <w:szCs w:val="21"/>
                <w:lang w:val="en-US" w:eastAsia="zh-CN"/>
              </w:rPr>
              <w:t>98</w:t>
            </w:r>
            <w:r>
              <w:rPr>
                <w:rFonts w:hint="eastAsia"/>
                <w:b w:val="0"/>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240" w:lineRule="exact"/>
              <w:rPr>
                <w:b/>
                <w:color w:val="000000"/>
                <w:spacing w:val="-8"/>
                <w:sz w:val="20"/>
                <w:szCs w:val="20"/>
              </w:rPr>
            </w:pPr>
          </w:p>
          <w:p>
            <w:pPr>
              <w:spacing w:line="240" w:lineRule="exact"/>
              <w:rPr>
                <w:b/>
                <w:color w:val="000000"/>
                <w:spacing w:val="-8"/>
                <w:sz w:val="20"/>
                <w:szCs w:val="20"/>
              </w:rPr>
            </w:pPr>
          </w:p>
          <w:p>
            <w:pPr>
              <w:spacing w:line="240" w:lineRule="exact"/>
              <w:rPr>
                <w:b/>
                <w:color w:val="000000"/>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pPr>
            <w:r>
              <w:t>4.</w:t>
            </w:r>
            <w:r>
              <w:rPr>
                <w:rFonts w:hint="eastAsia"/>
              </w:rPr>
              <w:t>管理评审（管理评审体系变更需求，纠正和预防措施、体系有效性等）</w:t>
            </w:r>
          </w:p>
          <w:p>
            <w:pPr>
              <w:spacing w:line="240" w:lineRule="exact"/>
            </w:pPr>
          </w:p>
          <w:p>
            <w:pPr>
              <w:pStyle w:val="10"/>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240" w:lineRule="exact"/>
              <w:rPr>
                <w:b/>
                <w:color w:val="000000"/>
                <w:sz w:val="20"/>
                <w:szCs w:val="20"/>
              </w:rPr>
            </w:pPr>
          </w:p>
          <w:p>
            <w:pPr>
              <w:spacing w:line="240" w:lineRule="exact"/>
              <w:rPr>
                <w:b/>
                <w:color w:val="000000"/>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r>
              <w:rPr>
                <w:rFonts w:hint="eastAsia"/>
                <w:b/>
                <w:color w:val="000000"/>
                <w:spacing w:val="-20"/>
                <w:sz w:val="20"/>
                <w:szCs w:val="20"/>
              </w:rPr>
              <w:t>无</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251657216;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6"/>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31680" w:hanging="221" w:hangingChars="100"/>
              <w:rPr>
                <w:b/>
                <w:color w:val="000000"/>
                <w:sz w:val="22"/>
                <w:szCs w:val="22"/>
              </w:rPr>
            </w:pPr>
            <w:r>
              <w:rPr>
                <w:rFonts w:hint="eastAsia"/>
                <w:b/>
                <w:color w:val="000000"/>
                <w:sz w:val="22"/>
                <w:szCs w:val="22"/>
              </w:rPr>
              <w:t>（描述组织实施“过程控制”，满足标准要求和目标，向顾客提供稳定、合格产品，满足适用的质量</w:t>
            </w:r>
            <w:r>
              <w:rPr>
                <w:b/>
                <w:color w:val="000000"/>
                <w:sz w:val="22"/>
                <w:szCs w:val="22"/>
              </w:rPr>
              <w:t>/</w:t>
            </w:r>
            <w:r>
              <w:rPr>
                <w:rFonts w:hint="eastAsia"/>
                <w:b/>
                <w:color w:val="000000"/>
                <w:sz w:val="22"/>
                <w:szCs w:val="22"/>
              </w:rPr>
              <w:t>环境</w:t>
            </w:r>
            <w:r>
              <w:rPr>
                <w:b/>
                <w:color w:val="000000"/>
                <w:sz w:val="22"/>
                <w:szCs w:val="22"/>
              </w:rPr>
              <w:t>/</w:t>
            </w:r>
            <w:r>
              <w:rPr>
                <w:rFonts w:hint="eastAsia"/>
                <w:b/>
                <w:color w:val="000000"/>
                <w:sz w:val="22"/>
                <w:szCs w:val="22"/>
              </w:rPr>
              <w:t>职业健康安全法规要求，防止污染、重大事故和持续改进的情况以及对周边环境产生的影响，措施的有效性）</w:t>
            </w:r>
          </w:p>
          <w:p>
            <w:pPr>
              <w:spacing w:line="240" w:lineRule="exact"/>
              <w:rPr>
                <w:b/>
                <w:color w:val="000000"/>
                <w:sz w:val="22"/>
                <w:szCs w:val="22"/>
              </w:rPr>
            </w:pPr>
            <w:r>
              <w:rPr>
                <w:rFonts w:hint="eastAsia"/>
                <w:b/>
                <w:color w:val="000000"/>
                <w:spacing w:val="-10"/>
                <w:szCs w:val="21"/>
              </w:rPr>
              <w:t>■</w:t>
            </w:r>
            <w:r>
              <w:rPr>
                <w:b/>
                <w:color w:val="000000"/>
                <w:sz w:val="22"/>
                <w:szCs w:val="22"/>
              </w:rPr>
              <w:t xml:space="preserve">QMS  </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持续的符合性及运行的有效性，以及与认证范围的持续相关性和适宜性及自我完善机制等。</w:t>
            </w:r>
          </w:p>
          <w:p>
            <w:pPr>
              <w:spacing w:line="240" w:lineRule="exact"/>
              <w:rPr>
                <w:b/>
                <w:color w:val="000000"/>
                <w:sz w:val="22"/>
                <w:szCs w:val="22"/>
              </w:rPr>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rPr>
                <w:color w:val="000000"/>
              </w:rPr>
            </w:pPr>
            <w:r>
              <w:rPr>
                <w:rFonts w:ascii="宋体" w:hAnsi="宋体"/>
                <w:b/>
                <w:color w:val="000000"/>
              </w:rPr>
              <w:t>QMS:</w:t>
            </w:r>
            <w:r>
              <w:rPr>
                <w:color w:val="000000"/>
              </w:rPr>
              <w:t xml:space="preserve"> </w:t>
            </w:r>
          </w:p>
          <w:p>
            <w:pPr>
              <w:rPr>
                <w:rFonts w:ascii="宋体"/>
                <w:b/>
                <w:color w:val="000000"/>
              </w:rPr>
            </w:pPr>
            <w:r>
              <w:rPr>
                <w:rFonts w:ascii="宋体" w:hAnsi="宋体"/>
                <w:b/>
                <w:color w:val="000000"/>
                <w:szCs w:val="21"/>
              </w:rPr>
              <w:t>EMS:</w:t>
            </w:r>
          </w:p>
          <w:p>
            <w:pPr>
              <w:spacing w:line="320" w:lineRule="exact"/>
              <w:rPr>
                <w:rFonts w:ascii="宋体"/>
                <w:b/>
                <w:color w:val="000000"/>
                <w:u w:val="single"/>
              </w:rPr>
            </w:pP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5"/>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bookmarkStart w:id="22" w:name="_GoBack"/>
      <w:r>
        <w:rPr>
          <w:rFonts w:hint="eastAsia" w:ascii="方正仿宋简体" w:eastAsia="方正仿宋简体"/>
          <w:b/>
          <w:color w:val="000000"/>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-17780</wp:posOffset>
            </wp:positionV>
            <wp:extent cx="6423025" cy="8731250"/>
            <wp:effectExtent l="0" t="0" r="3175" b="6350"/>
            <wp:wrapNone/>
            <wp:docPr id="3" name="图片 3" descr="扫描全能王 2020-09-30 13.12.3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0-09-30 13.12.38_8"/>
                    <pic:cNvPicPr>
                      <a:picLocks noChangeAspect="1"/>
                    </pic:cNvPicPr>
                  </pic:nvPicPr>
                  <pic:blipFill>
                    <a:blip r:embed="rId6"/>
                    <a:stretch>
                      <a:fillRect/>
                    </a:stretch>
                  </pic:blipFill>
                  <pic:spPr>
                    <a:xfrm>
                      <a:off x="0" y="0"/>
                      <a:ext cx="6423025" cy="8731250"/>
                    </a:xfrm>
                    <a:prstGeom prst="rect">
                      <a:avLst/>
                    </a:prstGeom>
                  </pic:spPr>
                </pic:pic>
              </a:graphicData>
            </a:graphic>
          </wp:anchor>
        </w:drawing>
      </w:r>
      <w:bookmarkEnd w:id="22"/>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Lines="50"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Lines="50" w:afterLines="50"/>
        <w:ind w:left="-326" w:leftChars="-405" w:hanging="524" w:hangingChars="326"/>
        <w:rPr>
          <w:b/>
          <w:color w:val="000000"/>
          <w:sz w:val="16"/>
          <w:szCs w:val="16"/>
        </w:rPr>
      </w:pPr>
    </w:p>
    <w:p>
      <w:pPr>
        <w:snapToGrid w:val="0"/>
        <w:rPr>
          <w:b/>
          <w:bCs/>
          <w:color w:val="000000"/>
          <w:szCs w:val="28"/>
          <w:u w:val="single"/>
        </w:rPr>
      </w:pPr>
    </w:p>
    <w:p>
      <w:pPr>
        <w:snapToGrid w:val="0"/>
        <w:spacing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Lines="50" w:line="360" w:lineRule="auto"/>
        <w:ind w:firstLine="527" w:firstLineChars="250"/>
        <w:rPr>
          <w:b/>
          <w:color w:val="000000"/>
        </w:rPr>
      </w:pP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r>
        <w:rPr>
          <w:rFonts w:hint="eastAsia" w:ascii="宋体" w:hAnsi="宋体"/>
          <w:b/>
          <w:color w:val="000000"/>
        </w:rPr>
        <w:t>日</w:t>
      </w:r>
    </w:p>
    <w:p>
      <w:pPr>
        <w:spacing w:beforeLines="50"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Lines="50" w:afterLines="50" w:line="360" w:lineRule="auto"/>
        <w:ind w:left="0"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lang w:eastAsia="zh-CN"/>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 xml:space="preserve">OHSMS(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Lines="50"/>
        <w:ind w:firstLine="422" w:firstLineChars="200"/>
        <w:rPr>
          <w:b/>
          <w:color w:val="000000"/>
          <w:szCs w:val="21"/>
        </w:rPr>
      </w:pPr>
    </w:p>
    <w:p>
      <w:pPr>
        <w:spacing w:afterLines="50"/>
        <w:ind w:left="0"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lang w:eastAsia="zh-CN"/>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p>
      <w:pPr>
        <w:spacing w:line="360" w:lineRule="auto"/>
        <w:ind w:left="0"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8"/>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认证评定负责人：日期：年月日</w:t>
      </w:r>
    </w:p>
    <w:p>
      <w:pPr>
        <w:numPr>
          <w:ilvl w:val="0"/>
          <w:numId w:val="8"/>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0" w:leftChars="-405" w:hanging="850" w:hangingChars="403"/>
        <w:rPr>
          <w:b/>
          <w:color w:val="000000"/>
          <w:szCs w:val="21"/>
          <w:u w:val="single"/>
        </w:rPr>
      </w:pPr>
    </w:p>
    <w:p>
      <w:pPr>
        <w:snapToGrid w:val="0"/>
        <w:spacing w:line="360" w:lineRule="auto"/>
        <w:ind w:left="0" w:leftChars="-405" w:hanging="850" w:hangingChars="403"/>
        <w:rPr>
          <w:b/>
          <w:color w:val="000000"/>
          <w:szCs w:val="21"/>
          <w:u w:val="single"/>
        </w:rPr>
      </w:pPr>
    </w:p>
    <w:p>
      <w:pPr>
        <w:snapToGrid w:val="0"/>
        <w:spacing w:line="360" w:lineRule="auto"/>
        <w:ind w:left="31680" w:hanging="738" w:hangingChars="350"/>
        <w:rPr>
          <w:b/>
          <w:color w:val="000000"/>
          <w:szCs w:val="21"/>
          <w:u w:val="single"/>
        </w:rPr>
      </w:pPr>
    </w:p>
    <w:p>
      <w:pPr>
        <w:spacing w:beforeLines="50"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Lines="20"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Lines="20"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Lines="50"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2D1A1E"/>
    <w:rsid w:val="3858137F"/>
    <w:rsid w:val="7A442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99"/>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1"/>
    <w:basedOn w:val="8"/>
    <w:link w:val="2"/>
    <w:uiPriority w:val="99"/>
    <w:rPr>
      <w:rFonts w:ascii="Times New Roman" w:hAnsi="Times New Roman" w:eastAsia="宋体" w:cs="Times New Roman"/>
      <w:sz w:val="18"/>
      <w:szCs w:val="18"/>
    </w:rPr>
  </w:style>
  <w:style w:type="character" w:customStyle="1" w:styleId="13">
    <w:name w:val="页脚 Char"/>
    <w:basedOn w:val="8"/>
    <w:link w:val="4"/>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2020-09-30T05:56:48Z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