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行政部、采购部、销售部、生产部、品质部、财务部、技术部</w:t>
            </w:r>
            <w:r>
              <w:rPr>
                <w:rFonts w:hint="eastAsia"/>
                <w:sz w:val="24"/>
                <w:szCs w:val="24"/>
              </w:rPr>
              <w:t xml:space="preserve">   陪同人员：</w:t>
            </w:r>
            <w:r>
              <w:rPr>
                <w:rFonts w:hint="eastAsia" w:ascii="宋体" w:hAnsi="宋体"/>
                <w:color w:val="auto"/>
                <w:sz w:val="24"/>
                <w:szCs w:val="24"/>
                <w:lang w:eastAsia="zh-CN"/>
              </w:rPr>
              <w:t>石仕义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伍光华、文波、王志慧、</w:t>
            </w:r>
            <w:r>
              <w:rPr>
                <w:rFonts w:hint="eastAsia"/>
                <w:sz w:val="24"/>
                <w:szCs w:val="24"/>
              </w:rPr>
              <w:t xml:space="preserve"> </w:t>
            </w:r>
            <w:r>
              <w:rPr>
                <w:sz w:val="24"/>
                <w:szCs w:val="24"/>
              </w:rPr>
              <w:t>石泽龙</w:t>
            </w:r>
            <w:r>
              <w:rPr>
                <w:rFonts w:hint="eastAsia"/>
                <w:sz w:val="24"/>
                <w:szCs w:val="24"/>
                <w:lang w:eastAsia="zh-CN"/>
              </w:rPr>
              <w:t>（</w:t>
            </w:r>
            <w:r>
              <w:rPr>
                <w:rFonts w:hint="eastAsia"/>
                <w:sz w:val="24"/>
                <w:szCs w:val="24"/>
                <w:lang w:val="en-US" w:eastAsia="zh-CN"/>
              </w:rPr>
              <w:t>专家</w:t>
            </w:r>
            <w:r>
              <w:rPr>
                <w:rFonts w:hint="eastAsia"/>
                <w:sz w:val="24"/>
                <w:szCs w:val="24"/>
                <w:lang w:eastAsia="zh-CN"/>
              </w:rPr>
              <w:t>）</w:t>
            </w:r>
            <w:r>
              <w:rPr>
                <w:rFonts w:hint="eastAsia"/>
                <w:sz w:val="24"/>
                <w:szCs w:val="24"/>
              </w:rPr>
              <w:t xml:space="preserve"> 审核时间：</w:t>
            </w:r>
            <w:r>
              <w:rPr>
                <w:rFonts w:hint="eastAsia"/>
                <w:sz w:val="24"/>
                <w:szCs w:val="24"/>
                <w:lang w:val="en-US" w:eastAsia="zh-CN"/>
              </w:rPr>
              <w:t>2020.9.25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2"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方针、目标、指标和方案情况</w:t>
            </w:r>
          </w:p>
          <w:p/>
          <w:p/>
          <w:p/>
          <w:p>
            <w:pPr>
              <w:pStyle w:val="12"/>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内审情况</w:t>
            </w:r>
          </w:p>
          <w:p>
            <w:pPr>
              <w:spacing w:line="400" w:lineRule="exact"/>
              <w:rPr>
                <w:szCs w:val="21"/>
              </w:rPr>
            </w:pPr>
          </w:p>
          <w:p>
            <w:pPr>
              <w:spacing w:line="400" w:lineRule="exact"/>
              <w:rPr>
                <w:szCs w:val="21"/>
              </w:rPr>
            </w:pPr>
            <w:r>
              <w:rPr>
                <w:rFonts w:hint="eastAsia"/>
                <w:szCs w:val="21"/>
              </w:rPr>
              <w:t>管理评审</w:t>
            </w:r>
          </w:p>
          <w:p>
            <w:pPr>
              <w:spacing w:line="400" w:lineRule="exact"/>
              <w:rPr>
                <w:szCs w:val="21"/>
              </w:rPr>
            </w:pPr>
          </w:p>
          <w:p/>
        </w:tc>
        <w:tc>
          <w:tcPr>
            <w:tcW w:w="960" w:type="dxa"/>
          </w:tcPr>
          <w:p/>
        </w:tc>
        <w:tc>
          <w:tcPr>
            <w:tcW w:w="10004" w:type="dxa"/>
          </w:tcPr>
          <w:p>
            <w:pPr>
              <w:tabs>
                <w:tab w:val="left" w:pos="426"/>
              </w:tabs>
              <w:spacing w:line="440" w:lineRule="exact"/>
            </w:pPr>
            <w:bookmarkStart w:id="0" w:name="组织名称"/>
            <w:r>
              <w:rPr>
                <w:color w:val="000000"/>
                <w:szCs w:val="21"/>
              </w:rPr>
              <w:t>公司</w:t>
            </w:r>
            <w:bookmarkEnd w:id="0"/>
            <w:r>
              <w:rPr>
                <w:rFonts w:hint="eastAsia"/>
              </w:rPr>
              <w:t>主要从事</w:t>
            </w:r>
            <w:r>
              <w:t>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w:t>
            </w:r>
            <w:r>
              <w:rPr>
                <w:rFonts w:hint="eastAsia"/>
              </w:rPr>
              <w:t>。</w:t>
            </w:r>
          </w:p>
          <w:p>
            <w:pPr>
              <w:tabs>
                <w:tab w:val="left" w:pos="426"/>
              </w:tabs>
              <w:spacing w:line="440" w:lineRule="exact"/>
              <w:ind w:firstLine="420" w:firstLineChars="200"/>
              <w:rPr>
                <w:rFonts w:ascii="宋体" w:hAnsi="宋体"/>
                <w:bCs/>
                <w:szCs w:val="21"/>
              </w:rPr>
            </w:pPr>
            <w:r>
              <w:rPr>
                <w:rFonts w:hint="eastAsia" w:ascii="宋体" w:hAnsi="宋体"/>
                <w:bCs/>
                <w:szCs w:val="21"/>
              </w:rPr>
              <w:t>提供了营业执照</w:t>
            </w:r>
          </w:p>
          <w:p>
            <w:pPr>
              <w:tabs>
                <w:tab w:val="left" w:pos="426"/>
              </w:tabs>
              <w:spacing w:line="440" w:lineRule="exact"/>
              <w:ind w:firstLine="420" w:firstLineChars="200"/>
            </w:pPr>
            <w:r>
              <w:rPr>
                <w:rFonts w:hint="eastAsia" w:ascii="宋体" w:hAnsi="宋体"/>
                <w:bCs/>
                <w:szCs w:val="21"/>
              </w:rPr>
              <w:t>现场确认范围：</w:t>
            </w:r>
          </w:p>
          <w:p>
            <w:r>
              <w:rPr>
                <w:rFonts w:hint="eastAsia"/>
              </w:rPr>
              <w:t>E：</w:t>
            </w:r>
            <w:r>
              <w:t>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及其所涉及的环境管理活动。</w:t>
            </w:r>
          </w:p>
          <w:p>
            <w:pPr>
              <w:spacing w:line="240" w:lineRule="exact"/>
            </w:pPr>
          </w:p>
          <w:p>
            <w:pPr>
              <w:rPr>
                <w:rFonts w:hint="eastAsia" w:ascii="宋体" w:hAnsi="宋体" w:eastAsia="宋体"/>
                <w:b/>
                <w:szCs w:val="21"/>
                <w:lang w:eastAsia="zh-CN"/>
              </w:rPr>
            </w:pPr>
            <w:r>
              <w:rPr>
                <w:rFonts w:hint="eastAsia"/>
              </w:rPr>
              <w:t>O：</w:t>
            </w:r>
            <w:r>
              <w:t>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及其所涉及的职业健康安全管理活动</w:t>
            </w:r>
            <w:r>
              <w:rPr>
                <w:rFonts w:hint="eastAsia"/>
                <w:lang w:eastAsia="zh-CN"/>
              </w:rPr>
              <w:t>。</w:t>
            </w:r>
          </w:p>
          <w:p>
            <w:pPr>
              <w:rPr>
                <w:rFonts w:ascii="宋体" w:hAnsi="宋体"/>
                <w:b/>
                <w:szCs w:val="21"/>
              </w:rPr>
            </w:pPr>
          </w:p>
          <w:p>
            <w:pPr>
              <w:rPr>
                <w:rFonts w:ascii="宋体"/>
                <w:bCs/>
                <w:szCs w:val="21"/>
              </w:rPr>
            </w:pPr>
            <w:r>
              <w:rPr>
                <w:rFonts w:hint="eastAsia" w:ascii="宋体" w:hAnsi="宋体"/>
                <w:bCs/>
                <w:szCs w:val="21"/>
              </w:rPr>
              <w:t>环境职业健康安全管理体系于</w:t>
            </w:r>
            <w:r>
              <w:rPr>
                <w:rFonts w:hint="eastAsia" w:ascii="宋体" w:hAnsi="宋体"/>
                <w:bCs/>
                <w:szCs w:val="21"/>
                <w:lang w:val="en-US" w:eastAsia="zh-CN"/>
              </w:rPr>
              <w:t>2020.</w:t>
            </w:r>
            <w:r>
              <w:rPr>
                <w:rFonts w:hint="eastAsia" w:ascii="宋体" w:hAnsi="宋体"/>
                <w:szCs w:val="21"/>
                <w:lang w:val="en-US" w:eastAsia="zh-CN"/>
              </w:rPr>
              <w:t>1.10</w:t>
            </w:r>
            <w:r>
              <w:rPr>
                <w:rFonts w:hint="eastAsia" w:ascii="宋体"/>
                <w:szCs w:val="21"/>
              </w:rPr>
              <w:t>日</w:t>
            </w:r>
            <w:r>
              <w:rPr>
                <w:rFonts w:hint="eastAsia" w:ascii="宋体" w:hAnsi="宋体"/>
                <w:szCs w:val="21"/>
              </w:rPr>
              <w:t>建立并正式实施。</w:t>
            </w:r>
          </w:p>
          <w:p>
            <w:pPr>
              <w:spacing w:line="360" w:lineRule="auto"/>
              <w:rPr>
                <w:rFonts w:hint="eastAsia"/>
                <w:color w:val="000000"/>
                <w:szCs w:val="21"/>
              </w:rPr>
            </w:pPr>
            <w:r>
              <w:rPr>
                <w:rFonts w:hint="eastAsia"/>
                <w:szCs w:val="21"/>
              </w:rPr>
              <w:t>提供了体系文件，初步询问各部门相关职能及过程要求，与文件相符合，二阶段</w:t>
            </w:r>
            <w:r>
              <w:rPr>
                <w:rFonts w:hint="eastAsia"/>
                <w:color w:val="000000"/>
                <w:szCs w:val="21"/>
              </w:rPr>
              <w:t>进行进一步关注。</w:t>
            </w:r>
          </w:p>
          <w:p>
            <w:pPr>
              <w:spacing w:line="360" w:lineRule="auto"/>
              <w:rPr>
                <w:rFonts w:hint="default" w:eastAsia="宋体"/>
                <w:color w:val="000000"/>
                <w:szCs w:val="21"/>
                <w:lang w:val="en-US" w:eastAsia="zh-CN"/>
              </w:rPr>
            </w:pPr>
            <w:r>
              <w:rPr>
                <w:rFonts w:hint="eastAsia"/>
                <w:color w:val="000000"/>
                <w:szCs w:val="21"/>
                <w:lang w:val="en-US" w:eastAsia="zh-CN"/>
              </w:rPr>
              <w:t>提供多场所信息申请表，项目名称：永修档案局，项目内容：密集架、书架、阅览桌椅，地址：永修县政府一楼，人数3 人。</w:t>
            </w:r>
          </w:p>
          <w:p>
            <w:pPr>
              <w:tabs>
                <w:tab w:val="right" w:pos="10380"/>
              </w:tabs>
              <w:rPr>
                <w:szCs w:val="21"/>
              </w:rPr>
            </w:pPr>
            <w:r>
              <w:rPr>
                <w:rFonts w:hint="eastAsia"/>
                <w:szCs w:val="21"/>
              </w:rPr>
              <w:t>公司的环境和职业健康安全的方针：</w:t>
            </w:r>
          </w:p>
          <w:p>
            <w:pPr>
              <w:tabs>
                <w:tab w:val="left" w:pos="720"/>
              </w:tabs>
              <w:spacing w:line="480" w:lineRule="exact"/>
              <w:rPr>
                <w:rFonts w:ascii="宋体" w:hAnsi="宋体"/>
                <w:spacing w:val="20"/>
                <w:sz w:val="21"/>
                <w:szCs w:val="21"/>
              </w:rPr>
            </w:pPr>
            <w:r>
              <w:rPr>
                <w:rFonts w:hint="eastAsia" w:ascii="宋体" w:hAnsi="宋体"/>
                <w:spacing w:val="20"/>
                <w:sz w:val="21"/>
                <w:szCs w:val="21"/>
              </w:rPr>
              <w:t>预防为主，降低风险；遵章守法，创造和谐</w:t>
            </w:r>
          </w:p>
          <w:p>
            <w:pPr>
              <w:tabs>
                <w:tab w:val="right" w:pos="10380"/>
              </w:tabs>
              <w:rPr>
                <w:szCs w:val="21"/>
              </w:rPr>
            </w:pPr>
            <w:r>
              <w:rPr>
                <w:rFonts w:hint="eastAsia"/>
                <w:szCs w:val="21"/>
              </w:rPr>
              <w:t>管理目标：</w:t>
            </w:r>
          </w:p>
          <w:p>
            <w:pPr>
              <w:spacing w:line="410" w:lineRule="exact"/>
              <w:ind w:firstLine="422" w:firstLineChars="200"/>
              <w:rPr>
                <w:rFonts w:hint="eastAsia" w:ascii="Arial" w:hAnsi="Arial" w:cs="Arial"/>
                <w:b/>
                <w:bCs/>
                <w:sz w:val="21"/>
                <w:szCs w:val="21"/>
              </w:rPr>
            </w:pPr>
            <w:r>
              <w:rPr>
                <w:rFonts w:hint="eastAsia" w:ascii="Arial" w:hAnsi="Arial" w:cs="Arial"/>
                <w:b/>
                <w:bCs/>
                <w:sz w:val="21"/>
                <w:szCs w:val="21"/>
              </w:rPr>
              <w:t>环</w:t>
            </w:r>
            <w:r>
              <w:rPr>
                <w:rFonts w:hint="eastAsia" w:ascii="Arial" w:hAnsi="Arial" w:cs="Arial"/>
                <w:b/>
                <w:bCs/>
                <w:sz w:val="21"/>
                <w:szCs w:val="21"/>
                <w:lang w:val="en-US" w:eastAsia="zh-CN"/>
              </w:rPr>
              <w:t>保安全</w:t>
            </w:r>
            <w:r>
              <w:rPr>
                <w:rFonts w:hint="eastAsia" w:ascii="Arial" w:hAnsi="Arial" w:cs="Arial"/>
                <w:b/>
                <w:bCs/>
                <w:sz w:val="21"/>
                <w:szCs w:val="21"/>
              </w:rPr>
              <w:t>目标：</w:t>
            </w:r>
          </w:p>
          <w:p>
            <w:pPr>
              <w:tabs>
                <w:tab w:val="left" w:pos="840"/>
              </w:tabs>
              <w:spacing w:line="480" w:lineRule="exact"/>
              <w:ind w:firstLine="250" w:firstLineChars="100"/>
              <w:rPr>
                <w:rFonts w:hint="eastAsia" w:ascii="宋体" w:hAnsi="宋体"/>
                <w:spacing w:val="20"/>
                <w:sz w:val="21"/>
                <w:szCs w:val="21"/>
              </w:rPr>
            </w:pPr>
            <w:r>
              <w:rPr>
                <w:rFonts w:hint="eastAsia" w:ascii="宋体" w:hAnsi="宋体"/>
                <w:spacing w:val="20"/>
                <w:sz w:val="21"/>
                <w:szCs w:val="21"/>
              </w:rPr>
              <w:t>固体废弃物分类处置率100%；</w:t>
            </w:r>
          </w:p>
          <w:p>
            <w:pPr>
              <w:tabs>
                <w:tab w:val="left" w:pos="840"/>
              </w:tabs>
              <w:spacing w:line="480" w:lineRule="exact"/>
              <w:ind w:firstLine="250" w:firstLineChars="100"/>
              <w:rPr>
                <w:rFonts w:ascii="宋体" w:hAnsi="宋体"/>
                <w:spacing w:val="20"/>
                <w:sz w:val="21"/>
                <w:szCs w:val="21"/>
              </w:rPr>
            </w:pPr>
            <w:r>
              <w:rPr>
                <w:rFonts w:hint="eastAsia" w:ascii="宋体" w:hAnsi="宋体"/>
                <w:spacing w:val="20"/>
                <w:sz w:val="21"/>
                <w:szCs w:val="21"/>
              </w:rPr>
              <w:t>火灾事故为0</w:t>
            </w:r>
          </w:p>
          <w:p>
            <w:pPr>
              <w:pStyle w:val="5"/>
              <w:pBdr>
                <w:bottom w:val="none" w:color="auto" w:sz="0" w:space="0"/>
              </w:pBdr>
              <w:tabs>
                <w:tab w:val="center" w:pos="5737"/>
                <w:tab w:val="clear" w:pos="4153"/>
              </w:tabs>
              <w:jc w:val="left"/>
              <w:rPr>
                <w:color w:val="000000"/>
                <w:sz w:val="21"/>
                <w:szCs w:val="21"/>
              </w:rPr>
            </w:pPr>
          </w:p>
          <w:p>
            <w:pPr>
              <w:pStyle w:val="5"/>
              <w:pBdr>
                <w:bottom w:val="none" w:color="auto" w:sz="0" w:space="0"/>
              </w:pBdr>
              <w:tabs>
                <w:tab w:val="center" w:pos="5737"/>
                <w:tab w:val="clear" w:pos="4153"/>
              </w:tabs>
              <w:jc w:val="left"/>
              <w:rPr>
                <w:color w:val="000000"/>
                <w:sz w:val="21"/>
                <w:szCs w:val="21"/>
              </w:rPr>
            </w:pPr>
            <w:r>
              <w:rPr>
                <w:rFonts w:hint="eastAsia"/>
                <w:color w:val="000000"/>
                <w:sz w:val="21"/>
                <w:szCs w:val="21"/>
              </w:rPr>
              <w:t>提供了本公司的环境和安全管理方案和控制措施，有编制人、审批人签字，二阶段进行进一步关注</w:t>
            </w:r>
          </w:p>
          <w:p>
            <w:pPr>
              <w:pStyle w:val="5"/>
              <w:pBdr>
                <w:bottom w:val="none" w:color="auto" w:sz="0" w:space="0"/>
              </w:pBdr>
              <w:tabs>
                <w:tab w:val="center" w:pos="5737"/>
                <w:tab w:val="clear" w:pos="4153"/>
              </w:tabs>
              <w:jc w:val="left"/>
              <w:rPr>
                <w:color w:val="000000"/>
                <w:sz w:val="21"/>
                <w:szCs w:val="21"/>
              </w:rPr>
            </w:pPr>
          </w:p>
          <w:p>
            <w:pPr>
              <w:rPr>
                <w:szCs w:val="21"/>
              </w:rPr>
            </w:pPr>
            <w:r>
              <w:rPr>
                <w:rFonts w:hint="eastAsia"/>
                <w:szCs w:val="21"/>
              </w:rPr>
              <w:t>公司于</w:t>
            </w:r>
            <w:r>
              <w:rPr>
                <w:szCs w:val="21"/>
              </w:rPr>
              <w:t>20</w:t>
            </w:r>
            <w:r>
              <w:rPr>
                <w:rFonts w:hint="eastAsia"/>
                <w:szCs w:val="21"/>
                <w:lang w:val="en-US" w:eastAsia="zh-CN"/>
              </w:rPr>
              <w:t>20.5.19-20</w:t>
            </w:r>
            <w:r>
              <w:rPr>
                <w:rFonts w:hint="eastAsia"/>
                <w:szCs w:val="21"/>
              </w:rPr>
              <w:t>日进行一次内审，提供了内审计划、内审记录、不符合报告、内审报告等，具体内容，二阶段进一步审核。</w:t>
            </w:r>
          </w:p>
          <w:p>
            <w:pPr>
              <w:pStyle w:val="12"/>
              <w:rPr>
                <w:szCs w:val="21"/>
              </w:rPr>
            </w:pPr>
          </w:p>
          <w:p>
            <w:pPr>
              <w:pStyle w:val="12"/>
              <w:rPr>
                <w:szCs w:val="21"/>
              </w:rPr>
            </w:pPr>
            <w:r>
              <w:rPr>
                <w:szCs w:val="21"/>
              </w:rPr>
              <w:t>20</w:t>
            </w:r>
            <w:r>
              <w:rPr>
                <w:rFonts w:hint="eastAsia"/>
                <w:szCs w:val="21"/>
                <w:lang w:val="en-US" w:eastAsia="zh-CN"/>
              </w:rPr>
              <w:t>20.6.9</w:t>
            </w:r>
            <w:r>
              <w:rPr>
                <w:rFonts w:hint="eastAsia"/>
                <w:szCs w:val="21"/>
              </w:rPr>
              <w:t>日召开了管理评审会议，由总经理主持。提供管理评审报告，具体内容，二阶段进一步审核.</w:t>
            </w:r>
          </w:p>
          <w:p/>
        </w:tc>
        <w:tc>
          <w:tcPr>
            <w:tcW w:w="1585" w:type="dxa"/>
          </w:tcPr>
          <w:p/>
        </w:tc>
      </w:tr>
    </w:tbl>
    <w:tbl>
      <w:tblPr>
        <w:tblStyle w:val="6"/>
        <w:tblpPr w:leftFromText="180" w:rightFromText="180" w:vertAnchor="text" w:horzAnchor="page" w:tblpX="1153" w:tblpY="23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r>
              <w:rPr>
                <w:rFonts w:hint="eastAsia"/>
                <w:szCs w:val="21"/>
              </w:rPr>
              <w:t>环境相关监测报告（</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p>
          <w:p>
            <w:pPr>
              <w:spacing w:line="400" w:lineRule="exact"/>
            </w:pPr>
            <w:r>
              <w:rPr>
                <w:rFonts w:hint="eastAsia"/>
                <w:szCs w:val="21"/>
              </w:rPr>
              <w:t>视频巡查现场</w:t>
            </w:r>
          </w:p>
        </w:tc>
        <w:tc>
          <w:tcPr>
            <w:tcW w:w="960" w:type="dxa"/>
          </w:tcPr>
          <w:p/>
        </w:tc>
        <w:tc>
          <w:tcPr>
            <w:tcW w:w="10004" w:type="dxa"/>
          </w:tcPr>
          <w:p>
            <w:pPr>
              <w:spacing w:line="360" w:lineRule="auto"/>
              <w:rPr>
                <w:szCs w:val="21"/>
              </w:rPr>
            </w:pPr>
            <w:r>
              <w:rPr>
                <w:rFonts w:hint="eastAsia"/>
                <w:szCs w:val="21"/>
              </w:rPr>
              <w:t>组织机构：管理层、</w:t>
            </w:r>
            <w:r>
              <w:rPr>
                <w:rFonts w:hint="eastAsia"/>
                <w:szCs w:val="21"/>
                <w:lang w:val="en-US" w:eastAsia="zh-CN"/>
              </w:rPr>
              <w:t>行政部、生产部、品质部、采购部、销售部、技术部、财务部</w:t>
            </w:r>
            <w:r>
              <w:rPr>
                <w:rFonts w:hint="eastAsia"/>
                <w:szCs w:val="21"/>
              </w:rPr>
              <w:t>。</w:t>
            </w:r>
          </w:p>
          <w:p>
            <w:pPr>
              <w:spacing w:line="480" w:lineRule="exact"/>
              <w:ind w:right="-6"/>
              <w:rPr>
                <w:szCs w:val="21"/>
              </w:rPr>
            </w:pPr>
            <w:r>
              <w:rPr>
                <w:rFonts w:hint="eastAsia"/>
                <w:szCs w:val="21"/>
              </w:rPr>
              <w:t>作业流程图：</w:t>
            </w:r>
          </w:p>
          <w:p>
            <w:pPr>
              <w:autoSpaceDE w:val="0"/>
              <w:autoSpaceDN w:val="0"/>
              <w:adjustRightInd w:val="0"/>
              <w:jc w:val="left"/>
              <w:rPr>
                <w:rFonts w:hint="eastAsia" w:ascii="宋体" w:hAnsi="宋体"/>
                <w:b w:val="0"/>
                <w:bCs w:val="0"/>
                <w:color w:val="000000"/>
                <w:spacing w:val="12"/>
                <w:sz w:val="21"/>
                <w:szCs w:val="21"/>
              </w:rPr>
            </w:pPr>
            <w:r>
              <w:rPr>
                <w:rFonts w:hint="eastAsia" w:ascii="宋体" w:hAnsi="宋体"/>
                <w:b w:val="0"/>
                <w:bCs w:val="0"/>
                <w:color w:val="000000"/>
                <w:spacing w:val="12"/>
                <w:sz w:val="21"/>
                <w:szCs w:val="21"/>
              </w:rPr>
              <w:t>下料</w:t>
            </w:r>
            <w:r>
              <w:rPr>
                <w:rFonts w:hint="eastAsia" w:ascii="宋体" w:hAnsi="宋体" w:cs="宋体"/>
                <w:b w:val="0"/>
                <w:bCs w:val="0"/>
                <w:color w:val="000000"/>
                <w:spacing w:val="12"/>
                <w:sz w:val="21"/>
                <w:szCs w:val="21"/>
              </w:rPr>
              <w:t>→</w:t>
            </w:r>
            <w:r>
              <w:rPr>
                <w:rFonts w:hint="eastAsia" w:ascii="宋体" w:hAnsi="宋体"/>
                <w:b w:val="0"/>
                <w:bCs w:val="0"/>
                <w:color w:val="000000"/>
                <w:spacing w:val="12"/>
                <w:sz w:val="21"/>
                <w:szCs w:val="21"/>
              </w:rPr>
              <w:t xml:space="preserve">冲压 </w:t>
            </w:r>
            <w:r>
              <w:rPr>
                <w:rFonts w:hint="eastAsia" w:ascii="宋体" w:hAnsi="宋体" w:cs="宋体"/>
                <w:b w:val="0"/>
                <w:bCs w:val="0"/>
                <w:color w:val="000000"/>
                <w:spacing w:val="12"/>
                <w:sz w:val="21"/>
                <w:szCs w:val="21"/>
              </w:rPr>
              <w:t>→</w:t>
            </w:r>
            <w:r>
              <w:rPr>
                <w:rFonts w:hint="eastAsia" w:ascii="宋体" w:hAnsi="宋体"/>
                <w:b w:val="0"/>
                <w:bCs w:val="0"/>
                <w:color w:val="000000"/>
                <w:spacing w:val="12"/>
                <w:sz w:val="21"/>
                <w:szCs w:val="21"/>
              </w:rPr>
              <w:t xml:space="preserve"> 折弯</w:t>
            </w:r>
            <w:r>
              <w:rPr>
                <w:rFonts w:hint="eastAsia" w:ascii="宋体" w:hAnsi="宋体" w:cs="宋体"/>
                <w:b w:val="0"/>
                <w:bCs w:val="0"/>
                <w:color w:val="000000"/>
                <w:spacing w:val="12"/>
                <w:sz w:val="21"/>
                <w:szCs w:val="21"/>
              </w:rPr>
              <w:t>→</w:t>
            </w:r>
            <w:r>
              <w:rPr>
                <w:rFonts w:hint="eastAsia" w:ascii="宋体" w:hAnsi="宋体"/>
                <w:b w:val="0"/>
                <w:bCs w:val="0"/>
                <w:color w:val="000000"/>
                <w:spacing w:val="12"/>
                <w:sz w:val="21"/>
                <w:szCs w:val="21"/>
              </w:rPr>
              <w:t>焊接</w:t>
            </w:r>
            <w:r>
              <w:rPr>
                <w:rFonts w:hint="eastAsia" w:ascii="宋体" w:hAnsi="宋体" w:cs="宋体"/>
                <w:b w:val="0"/>
                <w:bCs w:val="0"/>
                <w:color w:val="000000"/>
                <w:spacing w:val="12"/>
                <w:sz w:val="21"/>
                <w:szCs w:val="21"/>
              </w:rPr>
              <w:t>→</w:t>
            </w:r>
            <w:r>
              <w:rPr>
                <w:rFonts w:hint="eastAsia" w:ascii="宋体" w:hAnsi="宋体"/>
                <w:b w:val="0"/>
                <w:bCs w:val="0"/>
                <w:color w:val="000000"/>
                <w:spacing w:val="12"/>
                <w:sz w:val="21"/>
                <w:szCs w:val="21"/>
                <w:lang w:eastAsia="zh-CN"/>
              </w:rPr>
              <w:t>整形</w:t>
            </w:r>
            <w:r>
              <w:rPr>
                <w:rFonts w:hint="eastAsia" w:ascii="宋体" w:hAnsi="宋体" w:cs="宋体"/>
                <w:b w:val="0"/>
                <w:bCs w:val="0"/>
                <w:color w:val="000000"/>
                <w:spacing w:val="12"/>
                <w:sz w:val="21"/>
                <w:szCs w:val="21"/>
              </w:rPr>
              <w:t>→</w:t>
            </w:r>
            <w:r>
              <w:rPr>
                <w:rFonts w:hint="eastAsia" w:ascii="宋体" w:hAnsi="宋体"/>
                <w:b w:val="0"/>
                <w:bCs w:val="0"/>
                <w:color w:val="000000"/>
                <w:spacing w:val="12"/>
                <w:sz w:val="21"/>
                <w:szCs w:val="21"/>
                <w:lang w:eastAsia="zh-CN"/>
              </w:rPr>
              <w:t>初成品</w:t>
            </w:r>
            <w:r>
              <w:rPr>
                <w:rFonts w:hint="eastAsia" w:ascii="宋体" w:hAnsi="宋体" w:cs="宋体"/>
                <w:b w:val="0"/>
                <w:bCs w:val="0"/>
                <w:color w:val="000000"/>
                <w:spacing w:val="12"/>
                <w:sz w:val="21"/>
                <w:szCs w:val="21"/>
              </w:rPr>
              <w:t>→</w:t>
            </w:r>
            <w:r>
              <w:rPr>
                <w:rFonts w:hint="eastAsia" w:ascii="宋体" w:hAnsi="宋体"/>
                <w:b w:val="0"/>
                <w:bCs w:val="0"/>
                <w:color w:val="000000"/>
                <w:spacing w:val="12"/>
                <w:sz w:val="21"/>
                <w:szCs w:val="21"/>
                <w:lang w:eastAsia="zh-CN"/>
              </w:rPr>
              <w:t>喷涂</w:t>
            </w:r>
            <w:r>
              <w:rPr>
                <w:rFonts w:hint="eastAsia" w:ascii="宋体" w:hAnsi="宋体" w:cs="宋体"/>
                <w:b w:val="0"/>
                <w:bCs w:val="0"/>
                <w:color w:val="000000"/>
                <w:spacing w:val="12"/>
                <w:sz w:val="21"/>
                <w:szCs w:val="21"/>
              </w:rPr>
              <w:t>→</w:t>
            </w:r>
            <w:r>
              <w:rPr>
                <w:rFonts w:hint="eastAsia" w:ascii="宋体" w:hAnsi="宋体"/>
                <w:b w:val="0"/>
                <w:bCs w:val="0"/>
                <w:color w:val="000000"/>
                <w:spacing w:val="12"/>
                <w:sz w:val="21"/>
                <w:szCs w:val="21"/>
                <w:lang w:eastAsia="zh-CN"/>
              </w:rPr>
              <w:t>固化</w:t>
            </w:r>
            <w:r>
              <w:rPr>
                <w:rFonts w:hint="eastAsia" w:ascii="宋体" w:hAnsi="宋体" w:cs="宋体"/>
                <w:b w:val="0"/>
                <w:bCs w:val="0"/>
                <w:color w:val="000000"/>
                <w:spacing w:val="12"/>
                <w:sz w:val="21"/>
                <w:szCs w:val="21"/>
              </w:rPr>
              <w:t>→</w:t>
            </w:r>
            <w:r>
              <w:rPr>
                <w:rFonts w:hint="eastAsia" w:ascii="宋体" w:hAnsi="宋体" w:cs="宋体"/>
                <w:b w:val="0"/>
                <w:bCs w:val="0"/>
                <w:color w:val="000000"/>
                <w:spacing w:val="12"/>
                <w:sz w:val="21"/>
                <w:szCs w:val="21"/>
                <w:lang w:eastAsia="zh-CN"/>
              </w:rPr>
              <w:t>下件</w:t>
            </w:r>
            <w:r>
              <w:rPr>
                <w:rFonts w:hint="eastAsia" w:ascii="宋体" w:hAnsi="宋体" w:cs="宋体"/>
                <w:b w:val="0"/>
                <w:bCs w:val="0"/>
                <w:color w:val="000000"/>
                <w:spacing w:val="12"/>
                <w:sz w:val="21"/>
                <w:szCs w:val="21"/>
              </w:rPr>
              <w:t>→</w:t>
            </w:r>
            <w:r>
              <w:rPr>
                <w:rFonts w:hint="eastAsia" w:ascii="宋体" w:hAnsi="宋体"/>
                <w:b w:val="0"/>
                <w:bCs w:val="0"/>
                <w:color w:val="000000"/>
                <w:spacing w:val="12"/>
                <w:sz w:val="21"/>
                <w:szCs w:val="21"/>
              </w:rPr>
              <w:t>成品入库</w:t>
            </w:r>
          </w:p>
          <w:p>
            <w:pPr>
              <w:pStyle w:val="5"/>
              <w:pBdr>
                <w:bottom w:val="none" w:color="auto" w:sz="0" w:space="0"/>
              </w:pBdr>
              <w:tabs>
                <w:tab w:val="center" w:pos="5737"/>
                <w:tab w:val="clear" w:pos="4153"/>
              </w:tabs>
              <w:jc w:val="left"/>
              <w:rPr>
                <w:sz w:val="21"/>
                <w:szCs w:val="21"/>
              </w:rPr>
            </w:pPr>
            <w:r>
              <w:rPr>
                <w:rFonts w:hint="eastAsia"/>
                <w:sz w:val="21"/>
                <w:szCs w:val="21"/>
              </w:rPr>
              <w:t>提供了法律、法规和其他要求清单</w:t>
            </w:r>
          </w:p>
          <w:p>
            <w:pPr>
              <w:rPr>
                <w:rFonts w:hint="eastAsia" w:ascii="宋体" w:hAns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供《适用的法律法规清单》、提供了《外来文件清单》</w:t>
            </w:r>
          </w:p>
          <w:p>
            <w:pPr>
              <w:rPr>
                <w:rFonts w:hint="default" w:ascii="宋体" w:hAnsi="宋体" w:eastAsia="宋体" w:cs="宋体"/>
                <w:kern w:val="0"/>
                <w:szCs w:val="21"/>
                <w:lang w:val="en-US" w:eastAsia="zh-CN"/>
              </w:rPr>
            </w:pPr>
            <w:r>
              <w:rPr>
                <w:rFonts w:hint="eastAsia" w:ascii="宋体" w:hAnsi="宋体" w:cs="宋体"/>
                <w:kern w:val="0"/>
                <w:szCs w:val="21"/>
                <w:lang w:val="en-US" w:eastAsia="zh-CN"/>
              </w:rPr>
              <w:t>2010年1月10日江西白莲钢质制品有限公司钢质办公用品生产项目环境影响报告表、2010年1月20日永修县环境保护局环境影响报告表批复、2010年1月25日永修县环境保护局验收意见</w:t>
            </w:r>
          </w:p>
          <w:p>
            <w:pPr>
              <w:pStyle w:val="12"/>
              <w:rPr>
                <w:szCs w:val="21"/>
              </w:rPr>
            </w:pPr>
            <w:r>
              <w:rPr>
                <w:rFonts w:hint="eastAsia"/>
              </w:rPr>
              <w:t>相关方投诉情况：无。</w:t>
            </w:r>
          </w:p>
          <w:p>
            <w:pPr>
              <w:pStyle w:val="5"/>
              <w:pBdr>
                <w:bottom w:val="none" w:color="auto" w:sz="0" w:space="0"/>
              </w:pBdr>
              <w:tabs>
                <w:tab w:val="center" w:pos="5737"/>
                <w:tab w:val="clear" w:pos="4153"/>
              </w:tabs>
              <w:jc w:val="left"/>
              <w:rPr>
                <w:rFonts w:hint="eastAsia"/>
                <w:color w:val="000000"/>
                <w:sz w:val="21"/>
                <w:szCs w:val="21"/>
                <w:lang w:val="en-US" w:eastAsia="zh-CN"/>
              </w:rPr>
            </w:pPr>
          </w:p>
          <w:p>
            <w:pPr>
              <w:pStyle w:val="5"/>
              <w:pBdr>
                <w:bottom w:val="none" w:color="auto" w:sz="0" w:space="0"/>
              </w:pBdr>
              <w:tabs>
                <w:tab w:val="center" w:pos="5737"/>
                <w:tab w:val="clear" w:pos="4153"/>
              </w:tabs>
              <w:jc w:val="left"/>
              <w:rPr>
                <w:rFonts w:hint="default" w:eastAsia="宋体"/>
                <w:color w:val="000000"/>
                <w:sz w:val="21"/>
                <w:szCs w:val="21"/>
                <w:lang w:val="en-US" w:eastAsia="zh-CN"/>
              </w:rPr>
            </w:pPr>
            <w:r>
              <w:rPr>
                <w:rFonts w:hint="eastAsia"/>
                <w:color w:val="000000"/>
                <w:sz w:val="21"/>
                <w:szCs w:val="21"/>
                <w:lang w:val="en-US" w:eastAsia="zh-CN"/>
              </w:rPr>
              <w:t>提供江西谱实检测技术有限公司2020年8月20日对三废的检测报告，结果符合要求。</w:t>
            </w:r>
          </w:p>
          <w:p>
            <w:pPr>
              <w:pStyle w:val="5"/>
              <w:pBdr>
                <w:bottom w:val="none" w:color="auto" w:sz="0" w:space="0"/>
              </w:pBdr>
              <w:tabs>
                <w:tab w:val="center" w:pos="5737"/>
                <w:tab w:val="clear" w:pos="4153"/>
              </w:tabs>
              <w:jc w:val="left"/>
              <w:rPr>
                <w:color w:val="000000"/>
                <w:sz w:val="21"/>
                <w:szCs w:val="21"/>
              </w:rPr>
            </w:pPr>
          </w:p>
          <w:p>
            <w:pPr>
              <w:pStyle w:val="5"/>
              <w:pBdr>
                <w:bottom w:val="none" w:color="auto" w:sz="0" w:space="0"/>
              </w:pBdr>
              <w:tabs>
                <w:tab w:val="center" w:pos="5737"/>
                <w:tab w:val="clear" w:pos="4153"/>
              </w:tabs>
              <w:jc w:val="left"/>
              <w:rPr>
                <w:color w:val="000000"/>
                <w:sz w:val="21"/>
                <w:szCs w:val="21"/>
              </w:rPr>
            </w:pPr>
          </w:p>
          <w:p>
            <w:pPr>
              <w:pStyle w:val="5"/>
              <w:pBdr>
                <w:bottom w:val="none" w:color="auto" w:sz="0" w:space="0"/>
              </w:pBdr>
              <w:tabs>
                <w:tab w:val="center" w:pos="5737"/>
                <w:tab w:val="clear" w:pos="4153"/>
              </w:tabs>
              <w:jc w:val="left"/>
              <w:rPr>
                <w:color w:val="000000"/>
                <w:sz w:val="21"/>
                <w:szCs w:val="21"/>
              </w:rPr>
            </w:pPr>
            <w:r>
              <w:rPr>
                <w:rFonts w:hint="eastAsia"/>
                <w:color w:val="000000"/>
                <w:sz w:val="21"/>
                <w:szCs w:val="21"/>
              </w:rPr>
              <w:t>提供了“重要环境因素清单”</w:t>
            </w:r>
          </w:p>
          <w:p>
            <w:pPr>
              <w:rPr>
                <w:szCs w:val="21"/>
              </w:rPr>
            </w:pPr>
            <w:r>
              <w:rPr>
                <w:rFonts w:hint="eastAsia"/>
                <w:szCs w:val="21"/>
              </w:rPr>
              <w:t>潜在火灾、</w:t>
            </w:r>
            <w:r>
              <w:rPr>
                <w:rFonts w:hint="eastAsia"/>
                <w:szCs w:val="21"/>
                <w:lang w:val="en-US" w:eastAsia="zh-CN"/>
              </w:rPr>
              <w:t>粉尘的排放、噪声的排放、固废、废水、废渣等</w:t>
            </w:r>
            <w:r>
              <w:rPr>
                <w:rFonts w:hint="eastAsia"/>
                <w:szCs w:val="21"/>
              </w:rPr>
              <w:t>。</w:t>
            </w:r>
          </w:p>
          <w:p>
            <w:pPr>
              <w:rPr>
                <w:rFonts w:hint="eastAsia" w:eastAsia="宋体"/>
                <w:szCs w:val="21"/>
                <w:lang w:val="en-US" w:eastAsia="zh-CN"/>
              </w:rPr>
            </w:pPr>
            <w:r>
              <w:rPr>
                <w:rFonts w:hint="eastAsia"/>
              </w:rPr>
              <w:t>提</w:t>
            </w:r>
            <w:r>
              <w:rPr>
                <w:rFonts w:hint="eastAsia"/>
                <w:szCs w:val="21"/>
              </w:rPr>
              <w:t>供了“不可接受风险清单”，</w:t>
            </w:r>
          </w:p>
          <w:p>
            <w:pPr>
              <w:rPr>
                <w:rFonts w:hint="eastAsia" w:eastAsia="宋体"/>
                <w:sz w:val="21"/>
                <w:szCs w:val="21"/>
                <w:lang w:val="en-US" w:eastAsia="zh-CN"/>
              </w:rPr>
            </w:pPr>
            <w:r>
              <w:rPr>
                <w:rFonts w:hint="eastAsia"/>
                <w:sz w:val="21"/>
                <w:szCs w:val="21"/>
              </w:rPr>
              <w:t>机械伤害</w:t>
            </w:r>
            <w:r>
              <w:rPr>
                <w:rFonts w:hint="eastAsia"/>
                <w:sz w:val="21"/>
                <w:szCs w:val="21"/>
                <w:lang w:eastAsia="zh-CN"/>
              </w:rPr>
              <w:t>、</w:t>
            </w:r>
            <w:r>
              <w:rPr>
                <w:rFonts w:hint="eastAsia"/>
                <w:sz w:val="21"/>
                <w:szCs w:val="21"/>
              </w:rPr>
              <w:t>触电</w:t>
            </w:r>
            <w:r>
              <w:rPr>
                <w:rFonts w:hint="eastAsia"/>
                <w:sz w:val="21"/>
                <w:szCs w:val="21"/>
                <w:lang w:eastAsia="zh-CN"/>
              </w:rPr>
              <w:t>、</w:t>
            </w:r>
            <w:r>
              <w:rPr>
                <w:rFonts w:hint="eastAsia"/>
                <w:sz w:val="21"/>
                <w:szCs w:val="21"/>
              </w:rPr>
              <w:t>火灾</w:t>
            </w:r>
            <w:r>
              <w:rPr>
                <w:rFonts w:hint="eastAsia"/>
                <w:sz w:val="21"/>
                <w:szCs w:val="21"/>
                <w:lang w:eastAsia="zh-CN"/>
              </w:rPr>
              <w:t>、</w:t>
            </w:r>
            <w:r>
              <w:rPr>
                <w:rFonts w:hint="eastAsia"/>
                <w:sz w:val="21"/>
                <w:szCs w:val="21"/>
              </w:rPr>
              <w:t>爆炸</w:t>
            </w:r>
            <w:r>
              <w:rPr>
                <w:rFonts w:hint="eastAsia"/>
                <w:sz w:val="21"/>
                <w:szCs w:val="21"/>
                <w:lang w:eastAsia="zh-CN"/>
              </w:rPr>
              <w:t>、</w:t>
            </w:r>
            <w:r>
              <w:rPr>
                <w:rFonts w:hint="eastAsia"/>
                <w:sz w:val="21"/>
                <w:szCs w:val="21"/>
              </w:rPr>
              <w:t>职业病</w:t>
            </w:r>
            <w:r>
              <w:rPr>
                <w:rFonts w:hint="eastAsia"/>
                <w:sz w:val="21"/>
                <w:szCs w:val="21"/>
                <w:lang w:eastAsia="zh-CN"/>
              </w:rPr>
              <w:t>、</w:t>
            </w:r>
            <w:r>
              <w:rPr>
                <w:rFonts w:hint="eastAsia"/>
                <w:sz w:val="21"/>
                <w:szCs w:val="21"/>
              </w:rPr>
              <w:t>粉尘</w:t>
            </w:r>
            <w:r>
              <w:rPr>
                <w:rFonts w:hint="eastAsia"/>
                <w:sz w:val="21"/>
                <w:szCs w:val="21"/>
                <w:lang w:val="en-US" w:eastAsia="zh-CN"/>
              </w:rPr>
              <w:t>等</w:t>
            </w:r>
          </w:p>
          <w:p>
            <w:pPr>
              <w:rPr>
                <w:szCs w:val="21"/>
              </w:rPr>
            </w:pPr>
          </w:p>
          <w:p>
            <w:pPr>
              <w:rPr>
                <w:szCs w:val="21"/>
              </w:rPr>
            </w:pPr>
            <w:r>
              <w:rPr>
                <w:rFonts w:hint="eastAsia"/>
                <w:szCs w:val="21"/>
              </w:rPr>
              <w:t>特种设备</w:t>
            </w:r>
            <w:r>
              <w:rPr>
                <w:rFonts w:hint="eastAsia"/>
                <w:szCs w:val="21"/>
                <w:lang w:eastAsia="zh-CN"/>
              </w:rPr>
              <w:t>：</w:t>
            </w:r>
            <w:r>
              <w:rPr>
                <w:rFonts w:hint="eastAsia"/>
                <w:szCs w:val="21"/>
                <w:lang w:val="en-US" w:eastAsia="zh-CN"/>
              </w:rPr>
              <w:t>行车</w:t>
            </w:r>
            <w:r>
              <w:rPr>
                <w:rFonts w:hint="eastAsia"/>
                <w:szCs w:val="21"/>
              </w:rPr>
              <w:t>。</w:t>
            </w:r>
            <w:bookmarkStart w:id="1" w:name="_GoBack"/>
            <w:bookmarkEnd w:id="1"/>
          </w:p>
          <w:p>
            <w:pPr>
              <w:rPr>
                <w:szCs w:val="21"/>
              </w:rPr>
            </w:pPr>
            <w:r>
              <w:rPr>
                <w:rFonts w:hint="eastAsia" w:asciiTheme="majorEastAsia" w:hAnsiTheme="majorEastAsia" w:eastAsiaTheme="majorEastAsia" w:cstheme="majorEastAsia"/>
                <w:b w:val="0"/>
                <w:bCs w:val="0"/>
                <w:sz w:val="21"/>
                <w:szCs w:val="21"/>
                <w:lang w:val="en-US" w:eastAsia="zh-CN"/>
              </w:rPr>
              <w:t>滤芯收尘装置</w:t>
            </w:r>
            <w:r>
              <w:rPr>
                <w:rFonts w:hint="eastAsia" w:asciiTheme="majorEastAsia" w:hAnsiTheme="majorEastAsia" w:eastAsiaTheme="majorEastAsia" w:cstheme="majorEastAsia"/>
                <w:b w:val="0"/>
                <w:bCs w:val="0"/>
                <w:color w:val="000000"/>
                <w:sz w:val="21"/>
                <w:szCs w:val="21"/>
                <w:lang w:val="en-US" w:eastAsia="zh-CN"/>
              </w:rPr>
              <w:t>、沉淀池、</w:t>
            </w:r>
            <w:r>
              <w:rPr>
                <w:rFonts w:hint="eastAsia" w:asciiTheme="majorEastAsia" w:hAnsiTheme="majorEastAsia" w:eastAsiaTheme="majorEastAsia" w:cstheme="majorEastAsia"/>
                <w:b w:val="0"/>
                <w:bCs w:val="0"/>
                <w:sz w:val="21"/>
                <w:szCs w:val="21"/>
              </w:rPr>
              <w:t>垃圾桶、消防设施</w:t>
            </w:r>
            <w:r>
              <w:rPr>
                <w:rFonts w:hint="eastAsia" w:asciiTheme="majorEastAsia" w:hAnsiTheme="majorEastAsia" w:eastAsiaTheme="majorEastAsia" w:cstheme="majorEastAsia"/>
                <w:b w:val="0"/>
                <w:bCs w:val="0"/>
                <w:sz w:val="21"/>
                <w:szCs w:val="21"/>
                <w:lang w:val="en-US" w:eastAsia="zh-CN"/>
              </w:rPr>
              <w:t>等</w:t>
            </w:r>
            <w:r>
              <w:rPr>
                <w:rFonts w:hint="eastAsia"/>
                <w:szCs w:val="21"/>
              </w:rPr>
              <w:t>。</w:t>
            </w:r>
          </w:p>
          <w:p>
            <w:pPr>
              <w:rPr>
                <w:szCs w:val="21"/>
              </w:rPr>
            </w:pPr>
            <w:r>
              <w:rPr>
                <w:rFonts w:hint="eastAsia"/>
                <w:szCs w:val="21"/>
              </w:rPr>
              <w:t>无</w:t>
            </w:r>
          </w:p>
          <w:p>
            <w:pPr>
              <w:pStyle w:val="12"/>
              <w:rPr>
                <w:szCs w:val="21"/>
              </w:rPr>
            </w:pPr>
            <w:r>
              <w:rPr>
                <w:rFonts w:hint="eastAsia" w:ascii="宋体" w:hAnsi="宋体"/>
                <w:szCs w:val="21"/>
              </w:rPr>
              <w:t>巡查现场办公环境、基础设施、消防设施，人员作业情况等，</w:t>
            </w:r>
            <w:r>
              <w:rPr>
                <w:rFonts w:hint="eastAsia" w:ascii="宋体" w:hAnsi="宋体"/>
                <w:szCs w:val="21"/>
                <w:lang w:val="en-US" w:eastAsia="zh-CN"/>
              </w:rPr>
              <w:t>无多场所，</w:t>
            </w:r>
            <w:r>
              <w:rPr>
                <w:rFonts w:hint="eastAsia" w:ascii="宋体" w:hAnsi="宋体"/>
                <w:szCs w:val="21"/>
              </w:rPr>
              <w:t>确认二阶段资源配置情况。</w:t>
            </w:r>
          </w:p>
          <w:p>
            <w:r>
              <w:rPr>
                <w:rFonts w:hint="eastAsia" w:ascii="宋体" w:hAnsi="宋体"/>
                <w:szCs w:val="21"/>
              </w:rPr>
              <w:t>具备二阶段审核的条件</w:t>
            </w:r>
          </w:p>
        </w:tc>
        <w:tc>
          <w:tcPr>
            <w:tcW w:w="1585" w:type="dxa"/>
          </w:tcPr>
          <w:p/>
        </w:tc>
      </w:tr>
    </w:tbl>
    <w:p>
      <w:r>
        <w:ptab w:relativeTo="margin" w:alignment="center" w:leader="none"/>
      </w:r>
    </w:p>
    <w:p/>
    <w:p/>
    <w:p>
      <w:pPr>
        <w:pStyle w:val="4"/>
      </w:pPr>
    </w:p>
    <w:p>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77173F"/>
    <w:rsid w:val="31B7769D"/>
    <w:rsid w:val="4E4D4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2020-09-27T03:34:18Z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