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北京京电发电力工程设计有限公司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电力工程设计流程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设计策划（组成项目组、工程设计策划、工程设计开工会、方案策划、施工图专业策划）-设计接口（设计专业间接口）-设计输入-设计输出-设计校审-设计审查-设计完成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关键过程及特殊过程：电力设计过程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方案设计：应当满足编制初步设计文件和控制概算的需要。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初步设计：应当满足编制施工招标文件、主要设备材料订货和编制施工图设计文件的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需要。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施工图设计：应当满足设备材料采购、非标准设备制作和施工的需要，并注明建设工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程合理使用年限。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设计单位应当在建设工程施工前，向施工单位和监理单位说明建设工程设计意图，解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释设计文件（设计交底）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设计单位应当及时解决施工中出现的设计问题，做好设计文件交付后的服务工作。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执行《危险源识别和评价控制程序》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用LEC法对识别的危险源进行评价，本部门不可接受风险火灾、触电、意外伤害评价基本准确。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国网北京市电力公司配电网工程---典型设计》、《城市电力规划规范》 GB 50293-1999、城市配电网规划设计规范 GB 50613-2010、10kV及以下变电所设计规范 GB 50053-1994、35-110kV高压配电装置设计规范 GB 50060-2008、66kV及以下架空电力线路设计规范 GB 50061-2010、供配电系统设计规范 GB 50052-2009、低压配电设计规范 GB 50054-2011、电力工程电缆设计规范 GB 50217-2007、电力装置的继电保护和自动装置设计规范 GB 50062-2008、电能质量电压波动和闪变 GB/T 12326-2008、电能质量公用电网谐波 GB/T 14549-1993、交流电气装置的接地设计规范 GB/T 50065-2011、建筑物防雷设计规范 GB 50057-2010、《工业与民用配电设计手册》第三版：中国电力出版社，2005、《城市电力网规划设计导则》 Q/GDW 156-2006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2020.10.4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2020.10.4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7DE2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2020-10-06T14:11:34Z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