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湖州齐创环保科技有限公司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Huzhou Qichuang Environmental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浙江省湖州市经济技术开发区康山街道赛格数码城2幢</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313000</w:t>
      </w:r>
      <w:bookmarkEnd w:id="3"/>
    </w:p>
    <w:p>
      <w:pPr>
        <w:pStyle w:val="2"/>
        <w:spacing w:line="400" w:lineRule="exact"/>
        <w:ind w:firstLine="632" w:firstLineChars="286"/>
        <w:rPr>
          <w:rFonts w:hint="eastAsia" w:eastAsia="微软雅黑"/>
          <w:b/>
          <w:color w:val="000000" w:themeColor="text1"/>
          <w:sz w:val="22"/>
          <w:szCs w:val="22"/>
          <w:u w:val="single"/>
          <w:lang w:val="en-US" w:eastAsia="zh-CN"/>
        </w:rPr>
      </w:pPr>
      <w:r>
        <w:rPr>
          <w:rFonts w:hint="eastAsia"/>
          <w:b/>
          <w:color w:val="000000" w:themeColor="text1"/>
          <w:sz w:val="22"/>
          <w:szCs w:val="22"/>
        </w:rPr>
        <w:t>(英文)：</w:t>
      </w:r>
      <w:r>
        <w:rPr>
          <w:rFonts w:hint="eastAsia" w:ascii="微软雅黑" w:hAnsi="微软雅黑" w:eastAsia="微软雅黑" w:cs="微软雅黑"/>
          <w:i w:val="0"/>
          <w:caps w:val="0"/>
          <w:spacing w:val="0"/>
          <w:sz w:val="19"/>
          <w:szCs w:val="19"/>
          <w:shd w:val="clear" w:fill="FFFFFF"/>
          <w:lang w:val="en-US" w:eastAsia="zh-CN"/>
        </w:rPr>
        <w:t xml:space="preserve">Building </w:t>
      </w:r>
      <w:r>
        <w:rPr>
          <w:rFonts w:ascii="微软雅黑" w:hAnsi="微软雅黑" w:eastAsia="微软雅黑" w:cs="微软雅黑"/>
          <w:i w:val="0"/>
          <w:caps w:val="0"/>
          <w:spacing w:val="0"/>
          <w:sz w:val="19"/>
          <w:szCs w:val="19"/>
          <w:shd w:val="clear" w:fill="FFFFFF"/>
        </w:rPr>
        <w:t>2</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Kangshan Street Saige Digital</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 xml:space="preserve"> Economic and Technological Development Zone</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 xml:space="preserve"> Huzhou </w:t>
      </w:r>
      <w:r>
        <w:rPr>
          <w:rFonts w:hint="eastAsia" w:ascii="微软雅黑" w:hAnsi="微软雅黑" w:eastAsia="微软雅黑" w:cs="微软雅黑"/>
          <w:i w:val="0"/>
          <w:caps w:val="0"/>
          <w:spacing w:val="0"/>
          <w:sz w:val="19"/>
          <w:szCs w:val="19"/>
          <w:shd w:val="clear" w:fill="FFFFFF"/>
          <w:lang w:val="en-US" w:eastAsia="zh-CN"/>
        </w:rPr>
        <w:t xml:space="preserve">City </w:t>
      </w:r>
      <w:r>
        <w:rPr>
          <w:rFonts w:ascii="微软雅黑" w:hAnsi="微软雅黑" w:eastAsia="微软雅黑" w:cs="微软雅黑"/>
          <w:i w:val="0"/>
          <w:caps w:val="0"/>
          <w:spacing w:val="0"/>
          <w:sz w:val="19"/>
          <w:szCs w:val="19"/>
          <w:shd w:val="clear" w:fill="FFFFFF"/>
        </w:rPr>
        <w:t xml:space="preserve"> Zhejiang</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 xml:space="preserve">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浙江省湖州市南太湖技术开发区港南路2285号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313000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2285 Hong Kong South Road, South Taihu Technological Development Zone, Huzhou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91330501MA2B7A4E6E</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0572-2929329</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陈学峰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陈学峰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Q：大型中央空调清洗、空调维保、大型油烟机清洗</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E：大型中央空调清洗、空调维保、大型油烟机清洗及相关环境管理活动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O：大型中央空调清洗、空调维保、大型油烟机清洗及相关职业健康安全管理活动</w:t>
      </w:r>
      <w:bookmarkEnd w:id="14"/>
      <w:bookmarkStart w:id="15"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spacing w:val="0"/>
          <w:sz w:val="19"/>
          <w:szCs w:val="19"/>
          <w:shd w:val="clear" w:fill="FFFFFF"/>
        </w:rPr>
        <w:t>Large-scale central air conditioning cleaning, air conditioning maintenance, large-scale fume machine cleaning</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ascii="微软雅黑" w:hAnsi="微软雅黑" w:eastAsia="微软雅黑" w:cs="微软雅黑"/>
          <w:i w:val="0"/>
          <w:caps w:val="0"/>
          <w:spacing w:val="0"/>
          <w:sz w:val="19"/>
          <w:szCs w:val="19"/>
          <w:shd w:val="clear" w:fill="FFFFFF"/>
        </w:rPr>
        <w:t>Large-scale central air conditioning cleaning, air conditioning maintenance, large-scale fume machine cleaning and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5"/>
      <w:r>
        <w:rPr>
          <w:rFonts w:ascii="微软雅黑" w:hAnsi="微软雅黑" w:eastAsia="微软雅黑" w:cs="微软雅黑"/>
          <w:i w:val="0"/>
          <w:caps w:val="0"/>
          <w:spacing w:val="0"/>
          <w:sz w:val="19"/>
          <w:szCs w:val="19"/>
          <w:shd w:val="clear" w:fill="FFFFFF"/>
        </w:rPr>
        <w:t>Large-scale central air conditioning cleaning, air conditioning maintenance, large-scale fume machine cleaning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lang w:val="en-US" w:eastAsia="zh-CN"/>
        </w:rPr>
        <w:t xml:space="preserve"> </w:t>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lang w:val="en-US" w:eastAsia="zh-CN"/>
        </w:rPr>
        <w:drawing>
          <wp:anchor distT="0" distB="0" distL="114300" distR="114300" simplePos="0" relativeHeight="251658240" behindDoc="1" locked="0" layoutInCell="1" allowOverlap="1">
            <wp:simplePos x="0" y="0"/>
            <wp:positionH relativeFrom="column">
              <wp:posOffset>1829435</wp:posOffset>
            </wp:positionH>
            <wp:positionV relativeFrom="paragraph">
              <wp:posOffset>130810</wp:posOffset>
            </wp:positionV>
            <wp:extent cx="721995" cy="499745"/>
            <wp:effectExtent l="0" t="0" r="9525" b="3175"/>
            <wp:wrapNone/>
            <wp:docPr id="2" name="图片 2" descr="潘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潘菲"/>
                    <pic:cNvPicPr>
                      <a:picLocks noChangeAspect="1"/>
                    </pic:cNvPicPr>
                  </pic:nvPicPr>
                  <pic:blipFill>
                    <a:blip r:embed="rId10"/>
                    <a:stretch>
                      <a:fillRect/>
                    </a:stretch>
                  </pic:blipFill>
                  <pic:spPr>
                    <a:xfrm>
                      <a:off x="0" y="0"/>
                      <a:ext cx="721995" cy="499745"/>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2020-9-24                         </w:t>
      </w:r>
      <w:r>
        <w:rPr>
          <w:rFonts w:hint="eastAsia"/>
          <w:b/>
          <w:color w:val="000000" w:themeColor="text1"/>
          <w:sz w:val="22"/>
          <w:szCs w:val="22"/>
        </w:rPr>
        <w:t>日期：</w:t>
      </w:r>
      <w:r>
        <w:rPr>
          <w:rFonts w:hint="eastAsia"/>
          <w:b/>
          <w:color w:val="000000" w:themeColor="text1"/>
          <w:sz w:val="22"/>
          <w:szCs w:val="22"/>
          <w:lang w:val="en-US" w:eastAsia="zh-CN"/>
        </w:rPr>
        <w:t>2020-9-24</w:t>
      </w:r>
    </w:p>
    <w:p>
      <w:pPr>
        <w:pStyle w:val="2"/>
        <w:spacing w:line="0" w:lineRule="atLeast"/>
        <w:ind w:firstLine="0"/>
        <w:rPr>
          <w:b/>
          <w:color w:val="000000" w:themeColor="text1"/>
          <w:sz w:val="18"/>
          <w:szCs w:val="18"/>
        </w:rPr>
      </w:pPr>
      <w:r>
        <w:rPr>
          <w:b/>
          <w:color w:val="000000" w:themeColor="text1"/>
          <w:sz w:val="18"/>
          <w:szCs w:val="18"/>
        </w:rPr>
        <w:t>注：</w:t>
      </w:r>
      <w:bookmarkStart w:id="16" w:name="_GoBack"/>
      <w:bookmarkEnd w:id="16"/>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5A1312"/>
    <w:rsid w:val="721B0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769</Words>
  <Characters>1460</Characters>
  <Lines>5</Lines>
  <Paragraphs>1</Paragraphs>
  <TotalTime>3</TotalTime>
  <ScaleCrop>false</ScaleCrop>
  <LinksUpToDate>false</LinksUpToDate>
  <CharactersWithSpaces>1602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2020-11-04T01:02:30Z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