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0091-2019-2020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西安家麒工模具有限公司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生产部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胡瑞瑞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查用于操纵装置壳体气密性检测的编号为JQYL-028压力表，经2019.12.3校准，未确认。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GB/T19022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－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2003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标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  <w:t>准的7.1.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  <w:t>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510" w:firstLineChars="3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firstLine="840" w:firstLineChars="4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对该压力表根据计量要求进行计量确认；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firstLine="840" w:firstLineChars="4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按GB/T19022-2003《测量管理体系  测量过程和测量设备的要求》7.1的要求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及《</w:t>
            </w:r>
            <w:r>
              <w:rPr>
                <w:rFonts w:hint="eastAsia" w:ascii="宋体" w:hAnsi="宋体"/>
                <w:szCs w:val="21"/>
              </w:rPr>
              <w:t>计量确认管理程序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》对有关人员进行培训。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措施有效，同意关闭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A45E7"/>
    <w:multiLevelType w:val="singleLevel"/>
    <w:tmpl w:val="4F9A45E7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0C08EC"/>
    <w:rsid w:val="416B5D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2</TotalTime>
  <ScaleCrop>false</ScaleCrop>
  <LinksUpToDate>false</LinksUpToDate>
  <CharactersWithSpaces>333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2020-09-19T08:30:01Z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