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rPr>
      </w:pPr>
      <w:r>
        <w:rPr>
          <w:rFonts w:hint="eastAsia"/>
          <w:b/>
          <w:bCs/>
          <w:sz w:val="24"/>
          <w:szCs w:val="24"/>
          <w:lang w:val="en-US" w:eastAsia="zh-CN"/>
        </w:rPr>
        <w:t>编号：</w:t>
      </w:r>
      <w:r>
        <w:rPr>
          <w:b/>
          <w:bCs/>
          <w:sz w:val="24"/>
          <w:szCs w:val="24"/>
        </w:rPr>
        <w:t>0072-2018-QEO-2020</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受审核方：重庆耐斯布艺有限公司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139"/>
        <w:gridCol w:w="960"/>
        <w:gridCol w:w="1707"/>
        <w:gridCol w:w="2294"/>
        <w:gridCol w:w="711"/>
        <w:gridCol w:w="106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1061" w:type="dxa"/>
          </w:tcPr>
          <w:p>
            <w:pPr>
              <w:rPr>
                <w:b/>
                <w:sz w:val="21"/>
                <w:szCs w:val="21"/>
              </w:rPr>
            </w:pPr>
            <w:r>
              <w:rPr>
                <w:rFonts w:hint="eastAsia"/>
                <w:b/>
                <w:sz w:val="21"/>
                <w:szCs w:val="21"/>
              </w:rPr>
              <w:t>邮编</w:t>
            </w:r>
          </w:p>
        </w:tc>
        <w:tc>
          <w:tcPr>
            <w:tcW w:w="1403"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680" w:type="dxa"/>
            <w:gridSpan w:val="2"/>
            <w:vAlign w:val="center"/>
          </w:tcPr>
          <w:p>
            <w:pPr>
              <w:jc w:val="center"/>
              <w:rPr>
                <w:b/>
                <w:sz w:val="21"/>
                <w:szCs w:val="21"/>
              </w:rPr>
            </w:pPr>
            <w:r>
              <w:rPr>
                <w:rFonts w:hint="eastAsia"/>
                <w:b/>
                <w:sz w:val="21"/>
                <w:szCs w:val="21"/>
              </w:rPr>
              <w:t>性别</w:t>
            </w:r>
          </w:p>
        </w:tc>
        <w:tc>
          <w:tcPr>
            <w:tcW w:w="960" w:type="dxa"/>
            <w:vAlign w:val="center"/>
          </w:tcPr>
          <w:p>
            <w:pPr>
              <w:jc w:val="center"/>
              <w:rPr>
                <w:b/>
                <w:sz w:val="21"/>
                <w:szCs w:val="21"/>
              </w:rPr>
            </w:pPr>
            <w:r>
              <w:rPr>
                <w:rFonts w:hint="eastAsia"/>
                <w:b/>
                <w:sz w:val="21"/>
                <w:szCs w:val="21"/>
              </w:rPr>
              <w:t>职务</w:t>
            </w:r>
          </w:p>
        </w:tc>
        <w:tc>
          <w:tcPr>
            <w:tcW w:w="1707" w:type="dxa"/>
            <w:vAlign w:val="center"/>
          </w:tcPr>
          <w:p>
            <w:pPr>
              <w:jc w:val="center"/>
              <w:rPr>
                <w:b/>
                <w:sz w:val="21"/>
                <w:szCs w:val="21"/>
              </w:rPr>
            </w:pPr>
            <w:r>
              <w:rPr>
                <w:rFonts w:hint="eastAsia"/>
                <w:b/>
                <w:sz w:val="21"/>
                <w:szCs w:val="21"/>
              </w:rPr>
              <w:t>注册级别</w:t>
            </w:r>
          </w:p>
        </w:tc>
        <w:tc>
          <w:tcPr>
            <w:tcW w:w="2294" w:type="dxa"/>
            <w:vAlign w:val="center"/>
          </w:tcPr>
          <w:p>
            <w:pPr>
              <w:jc w:val="center"/>
              <w:rPr>
                <w:b/>
                <w:sz w:val="21"/>
                <w:szCs w:val="21"/>
              </w:rPr>
            </w:pPr>
            <w:r>
              <w:rPr>
                <w:rFonts w:hint="eastAsia"/>
                <w:b/>
                <w:sz w:val="21"/>
                <w:szCs w:val="21"/>
              </w:rPr>
              <w:t>审核员注册号</w:t>
            </w:r>
          </w:p>
        </w:tc>
        <w:tc>
          <w:tcPr>
            <w:tcW w:w="1772" w:type="dxa"/>
            <w:gridSpan w:val="2"/>
            <w:vAlign w:val="center"/>
          </w:tcPr>
          <w:p>
            <w:pPr>
              <w:jc w:val="center"/>
              <w:rPr>
                <w:b/>
                <w:sz w:val="21"/>
                <w:szCs w:val="21"/>
              </w:rPr>
            </w:pPr>
            <w:r>
              <w:rPr>
                <w:rFonts w:hint="eastAsia"/>
                <w:b/>
                <w:sz w:val="21"/>
                <w:szCs w:val="21"/>
              </w:rPr>
              <w:t>专业代码</w:t>
            </w:r>
          </w:p>
        </w:tc>
        <w:tc>
          <w:tcPr>
            <w:tcW w:w="140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680" w:type="dxa"/>
            <w:gridSpan w:val="2"/>
            <w:vAlign w:val="center"/>
          </w:tcPr>
          <w:p>
            <w:pPr>
              <w:jc w:val="center"/>
              <w:rPr>
                <w:b/>
                <w:sz w:val="21"/>
                <w:szCs w:val="21"/>
              </w:rPr>
            </w:pPr>
            <w:r>
              <w:rPr>
                <w:b/>
                <w:sz w:val="21"/>
                <w:szCs w:val="21"/>
              </w:rPr>
              <w:t>男</w:t>
            </w:r>
          </w:p>
        </w:tc>
        <w:tc>
          <w:tcPr>
            <w:tcW w:w="960" w:type="dxa"/>
            <w:vAlign w:val="center"/>
          </w:tcPr>
          <w:p>
            <w:pPr>
              <w:jc w:val="center"/>
              <w:rPr>
                <w:b/>
                <w:sz w:val="21"/>
                <w:szCs w:val="21"/>
              </w:rPr>
            </w:pPr>
            <w:r>
              <w:rPr>
                <w:b/>
                <w:sz w:val="21"/>
                <w:szCs w:val="21"/>
              </w:rPr>
              <w:t>组长</w:t>
            </w:r>
          </w:p>
        </w:tc>
        <w:tc>
          <w:tcPr>
            <w:tcW w:w="170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294"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72" w:type="dxa"/>
            <w:gridSpan w:val="2"/>
            <w:vAlign w:val="center"/>
          </w:tcPr>
          <w:p>
            <w:pPr>
              <w:jc w:val="center"/>
              <w:rPr>
                <w:b/>
                <w:sz w:val="21"/>
                <w:szCs w:val="21"/>
              </w:rPr>
            </w:pPr>
            <w:r>
              <w:rPr>
                <w:b/>
                <w:sz w:val="21"/>
                <w:szCs w:val="21"/>
              </w:rPr>
              <w:t>Q:14.02.03,29.12.00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403"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680" w:type="dxa"/>
            <w:gridSpan w:val="2"/>
            <w:vAlign w:val="center"/>
          </w:tcPr>
          <w:p>
            <w:pPr>
              <w:jc w:val="center"/>
              <w:rPr>
                <w:b/>
                <w:sz w:val="21"/>
                <w:szCs w:val="21"/>
              </w:rPr>
            </w:pPr>
            <w:r>
              <w:rPr>
                <w:b/>
                <w:sz w:val="21"/>
                <w:szCs w:val="21"/>
              </w:rPr>
              <w:t>男</w:t>
            </w:r>
          </w:p>
        </w:tc>
        <w:tc>
          <w:tcPr>
            <w:tcW w:w="960" w:type="dxa"/>
            <w:vAlign w:val="center"/>
          </w:tcPr>
          <w:p>
            <w:pPr>
              <w:jc w:val="center"/>
              <w:rPr>
                <w:b/>
                <w:sz w:val="21"/>
                <w:szCs w:val="21"/>
              </w:rPr>
            </w:pPr>
            <w:r>
              <w:rPr>
                <w:b/>
                <w:sz w:val="21"/>
                <w:szCs w:val="21"/>
              </w:rPr>
              <w:t>组员</w:t>
            </w:r>
          </w:p>
        </w:tc>
        <w:tc>
          <w:tcPr>
            <w:tcW w:w="170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294"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72"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403" w:type="dxa"/>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680" w:type="dxa"/>
            <w:gridSpan w:val="2"/>
            <w:vAlign w:val="center"/>
          </w:tcPr>
          <w:p>
            <w:pPr>
              <w:jc w:val="center"/>
              <w:rPr>
                <w:b/>
                <w:sz w:val="21"/>
                <w:szCs w:val="21"/>
              </w:rPr>
            </w:pPr>
            <w:r>
              <w:rPr>
                <w:b/>
                <w:sz w:val="21"/>
                <w:szCs w:val="21"/>
              </w:rPr>
              <w:t>女</w:t>
            </w:r>
          </w:p>
        </w:tc>
        <w:tc>
          <w:tcPr>
            <w:tcW w:w="960" w:type="dxa"/>
            <w:vAlign w:val="center"/>
          </w:tcPr>
          <w:p>
            <w:pPr>
              <w:jc w:val="center"/>
              <w:rPr>
                <w:b/>
                <w:sz w:val="21"/>
                <w:szCs w:val="21"/>
              </w:rPr>
            </w:pPr>
            <w:r>
              <w:rPr>
                <w:b/>
                <w:sz w:val="21"/>
                <w:szCs w:val="21"/>
              </w:rPr>
              <w:t>组员</w:t>
            </w:r>
          </w:p>
        </w:tc>
        <w:tc>
          <w:tcPr>
            <w:tcW w:w="170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2294" w:type="dxa"/>
            <w:vAlign w:val="center"/>
          </w:tcPr>
          <w:p>
            <w:pPr>
              <w:jc w:val="center"/>
              <w:rPr>
                <w:b/>
                <w:sz w:val="21"/>
                <w:szCs w:val="21"/>
              </w:rPr>
            </w:pPr>
            <w:r>
              <w:rPr>
                <w:b/>
                <w:sz w:val="21"/>
                <w:szCs w:val="21"/>
              </w:rPr>
              <w:t>2020-N1QMS-1267598</w:t>
            </w:r>
          </w:p>
          <w:p>
            <w:pPr>
              <w:jc w:val="center"/>
              <w:rPr>
                <w:b/>
                <w:sz w:val="21"/>
                <w:szCs w:val="21"/>
              </w:rPr>
            </w:pPr>
            <w:r>
              <w:rPr>
                <w:b/>
                <w:sz w:val="21"/>
                <w:szCs w:val="21"/>
              </w:rPr>
              <w:t>2020-N0EMS-1267598</w:t>
            </w:r>
          </w:p>
        </w:tc>
        <w:tc>
          <w:tcPr>
            <w:tcW w:w="1772" w:type="dxa"/>
            <w:gridSpan w:val="2"/>
            <w:vAlign w:val="center"/>
          </w:tcPr>
          <w:p>
            <w:pPr>
              <w:jc w:val="center"/>
              <w:rPr>
                <w:b/>
                <w:sz w:val="21"/>
                <w:szCs w:val="21"/>
              </w:rPr>
            </w:pPr>
          </w:p>
        </w:tc>
        <w:tc>
          <w:tcPr>
            <w:tcW w:w="1403"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680" w:type="dxa"/>
            <w:gridSpan w:val="2"/>
            <w:vAlign w:val="center"/>
          </w:tcPr>
          <w:p>
            <w:pPr>
              <w:jc w:val="center"/>
              <w:rPr>
                <w:b/>
                <w:sz w:val="21"/>
                <w:szCs w:val="21"/>
              </w:rPr>
            </w:pPr>
            <w:r>
              <w:rPr>
                <w:b/>
                <w:sz w:val="21"/>
                <w:szCs w:val="21"/>
              </w:rPr>
              <w:t>男</w:t>
            </w:r>
          </w:p>
        </w:tc>
        <w:tc>
          <w:tcPr>
            <w:tcW w:w="960" w:type="dxa"/>
            <w:vAlign w:val="center"/>
          </w:tcPr>
          <w:p>
            <w:pPr>
              <w:jc w:val="center"/>
              <w:rPr>
                <w:b/>
                <w:sz w:val="21"/>
                <w:szCs w:val="21"/>
              </w:rPr>
            </w:pPr>
            <w:r>
              <w:rPr>
                <w:b/>
                <w:sz w:val="21"/>
                <w:szCs w:val="21"/>
              </w:rPr>
              <w:t>组员</w:t>
            </w:r>
          </w:p>
        </w:tc>
        <w:tc>
          <w:tcPr>
            <w:tcW w:w="1707" w:type="dxa"/>
            <w:vAlign w:val="center"/>
          </w:tcPr>
          <w:p>
            <w:pPr>
              <w:jc w:val="center"/>
              <w:rPr>
                <w:b/>
                <w:sz w:val="21"/>
                <w:szCs w:val="21"/>
              </w:rPr>
            </w:pPr>
            <w:r>
              <w:rPr>
                <w:b/>
                <w:sz w:val="21"/>
                <w:szCs w:val="21"/>
              </w:rPr>
              <w:t>Q:实习审核员</w:t>
            </w:r>
          </w:p>
          <w:p>
            <w:pPr>
              <w:jc w:val="center"/>
              <w:rPr>
                <w:b/>
                <w:sz w:val="21"/>
                <w:szCs w:val="21"/>
              </w:rPr>
            </w:pPr>
            <w:r>
              <w:rPr>
                <w:b/>
                <w:sz w:val="21"/>
                <w:szCs w:val="21"/>
              </w:rPr>
              <w:t>E:审核员</w:t>
            </w:r>
          </w:p>
        </w:tc>
        <w:tc>
          <w:tcPr>
            <w:tcW w:w="2294" w:type="dxa"/>
            <w:vAlign w:val="center"/>
          </w:tcPr>
          <w:p>
            <w:pPr>
              <w:jc w:val="center"/>
              <w:rPr>
                <w:b/>
                <w:sz w:val="21"/>
                <w:szCs w:val="21"/>
              </w:rPr>
            </w:pPr>
            <w:r>
              <w:rPr>
                <w:b/>
                <w:sz w:val="21"/>
                <w:szCs w:val="21"/>
              </w:rPr>
              <w:t>2020-N0QMS-1262293</w:t>
            </w:r>
          </w:p>
          <w:p>
            <w:pPr>
              <w:jc w:val="center"/>
              <w:rPr>
                <w:b/>
                <w:sz w:val="21"/>
                <w:szCs w:val="21"/>
              </w:rPr>
            </w:pPr>
            <w:r>
              <w:rPr>
                <w:b/>
                <w:sz w:val="21"/>
                <w:szCs w:val="21"/>
              </w:rPr>
              <w:t>2020-N1EMS-1262293</w:t>
            </w:r>
          </w:p>
        </w:tc>
        <w:tc>
          <w:tcPr>
            <w:tcW w:w="1772" w:type="dxa"/>
            <w:gridSpan w:val="2"/>
            <w:vAlign w:val="center"/>
          </w:tcPr>
          <w:p>
            <w:pPr>
              <w:jc w:val="center"/>
              <w:rPr>
                <w:b/>
                <w:sz w:val="21"/>
                <w:szCs w:val="21"/>
              </w:rPr>
            </w:pPr>
          </w:p>
        </w:tc>
        <w:tc>
          <w:tcPr>
            <w:tcW w:w="1403" w:type="dxa"/>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680" w:type="dxa"/>
            <w:gridSpan w:val="2"/>
            <w:vAlign w:val="center"/>
          </w:tcPr>
          <w:p>
            <w:pPr>
              <w:jc w:val="center"/>
              <w:rPr>
                <w:b/>
                <w:sz w:val="21"/>
                <w:szCs w:val="21"/>
              </w:rPr>
            </w:pPr>
            <w:r>
              <w:rPr>
                <w:b/>
                <w:sz w:val="21"/>
                <w:szCs w:val="21"/>
              </w:rPr>
              <w:t>男</w:t>
            </w:r>
          </w:p>
        </w:tc>
        <w:tc>
          <w:tcPr>
            <w:tcW w:w="960" w:type="dxa"/>
            <w:vAlign w:val="center"/>
          </w:tcPr>
          <w:p>
            <w:pPr>
              <w:jc w:val="center"/>
              <w:rPr>
                <w:b/>
                <w:sz w:val="21"/>
                <w:szCs w:val="21"/>
              </w:rPr>
            </w:pPr>
            <w:r>
              <w:rPr>
                <w:b/>
                <w:sz w:val="21"/>
                <w:szCs w:val="21"/>
              </w:rPr>
              <w:t>组员</w:t>
            </w:r>
          </w:p>
        </w:tc>
        <w:tc>
          <w:tcPr>
            <w:tcW w:w="170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294"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772" w:type="dxa"/>
            <w:gridSpan w:val="2"/>
            <w:vAlign w:val="center"/>
          </w:tcPr>
          <w:p>
            <w:pPr>
              <w:jc w:val="center"/>
              <w:rPr>
                <w:b/>
                <w:sz w:val="21"/>
                <w:szCs w:val="21"/>
              </w:rPr>
            </w:pPr>
          </w:p>
        </w:tc>
        <w:tc>
          <w:tcPr>
            <w:tcW w:w="1403" w:type="dxa"/>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680" w:type="dxa"/>
            <w:gridSpan w:val="2"/>
            <w:vAlign w:val="center"/>
          </w:tcPr>
          <w:p>
            <w:pPr>
              <w:jc w:val="center"/>
              <w:rPr>
                <w:b/>
                <w:sz w:val="21"/>
                <w:szCs w:val="21"/>
              </w:rPr>
            </w:pPr>
            <w:r>
              <w:rPr>
                <w:b/>
                <w:sz w:val="21"/>
                <w:szCs w:val="21"/>
              </w:rPr>
              <w:t>女</w:t>
            </w:r>
          </w:p>
        </w:tc>
        <w:tc>
          <w:tcPr>
            <w:tcW w:w="960" w:type="dxa"/>
            <w:vAlign w:val="center"/>
          </w:tcPr>
          <w:p>
            <w:pPr>
              <w:jc w:val="center"/>
              <w:rPr>
                <w:b/>
                <w:sz w:val="21"/>
                <w:szCs w:val="21"/>
              </w:rPr>
            </w:pPr>
            <w:r>
              <w:rPr>
                <w:b/>
                <w:sz w:val="21"/>
                <w:szCs w:val="21"/>
              </w:rPr>
              <w:t>组员</w:t>
            </w:r>
          </w:p>
        </w:tc>
        <w:tc>
          <w:tcPr>
            <w:tcW w:w="170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2294" w:type="dxa"/>
            <w:vAlign w:val="center"/>
          </w:tcPr>
          <w:p>
            <w:pPr>
              <w:jc w:val="center"/>
              <w:rPr>
                <w:b/>
                <w:sz w:val="21"/>
                <w:szCs w:val="21"/>
              </w:rPr>
            </w:pPr>
            <w:r>
              <w:rPr>
                <w:b/>
                <w:sz w:val="21"/>
                <w:szCs w:val="21"/>
              </w:rPr>
              <w:t>2018-N1QMS-2207381</w:t>
            </w:r>
          </w:p>
          <w:p>
            <w:pPr>
              <w:jc w:val="center"/>
              <w:rPr>
                <w:b/>
                <w:sz w:val="21"/>
                <w:szCs w:val="21"/>
              </w:rPr>
            </w:pPr>
            <w:r>
              <w:rPr>
                <w:b/>
                <w:sz w:val="21"/>
                <w:szCs w:val="21"/>
              </w:rPr>
              <w:t>2020-N0EMS-1207381</w:t>
            </w:r>
          </w:p>
        </w:tc>
        <w:tc>
          <w:tcPr>
            <w:tcW w:w="1772" w:type="dxa"/>
            <w:gridSpan w:val="2"/>
            <w:vAlign w:val="center"/>
          </w:tcPr>
          <w:p>
            <w:pPr>
              <w:jc w:val="center"/>
              <w:rPr>
                <w:b/>
                <w:sz w:val="21"/>
                <w:szCs w:val="21"/>
              </w:rPr>
            </w:pPr>
            <w:r>
              <w:rPr>
                <w:b/>
                <w:sz w:val="21"/>
                <w:szCs w:val="21"/>
              </w:rPr>
              <w:t>Q:29.12.00</w:t>
            </w:r>
          </w:p>
        </w:tc>
        <w:tc>
          <w:tcPr>
            <w:tcW w:w="1403"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卢静</w:t>
            </w:r>
          </w:p>
        </w:tc>
        <w:tc>
          <w:tcPr>
            <w:tcW w:w="680" w:type="dxa"/>
            <w:gridSpan w:val="2"/>
            <w:vAlign w:val="center"/>
          </w:tcPr>
          <w:p>
            <w:pPr>
              <w:jc w:val="center"/>
              <w:rPr>
                <w:b/>
                <w:sz w:val="21"/>
                <w:szCs w:val="21"/>
              </w:rPr>
            </w:pPr>
            <w:r>
              <w:rPr>
                <w:b/>
                <w:sz w:val="21"/>
                <w:szCs w:val="21"/>
              </w:rPr>
              <w:t>女</w:t>
            </w:r>
          </w:p>
        </w:tc>
        <w:tc>
          <w:tcPr>
            <w:tcW w:w="960" w:type="dxa"/>
            <w:vAlign w:val="center"/>
          </w:tcPr>
          <w:p>
            <w:pPr>
              <w:jc w:val="center"/>
              <w:rPr>
                <w:b/>
                <w:sz w:val="21"/>
                <w:szCs w:val="21"/>
              </w:rPr>
            </w:pPr>
            <w:r>
              <w:rPr>
                <w:b/>
                <w:sz w:val="21"/>
                <w:szCs w:val="21"/>
              </w:rPr>
              <w:t>组员</w:t>
            </w:r>
          </w:p>
        </w:tc>
        <w:tc>
          <w:tcPr>
            <w:tcW w:w="1707" w:type="dxa"/>
            <w:vAlign w:val="center"/>
          </w:tcPr>
          <w:p>
            <w:pPr>
              <w:jc w:val="center"/>
              <w:rPr>
                <w:b/>
                <w:sz w:val="21"/>
                <w:szCs w:val="21"/>
              </w:rPr>
            </w:pPr>
            <w:r>
              <w:rPr>
                <w:b/>
                <w:sz w:val="21"/>
                <w:szCs w:val="21"/>
              </w:rPr>
              <w:t>Q:专家</w:t>
            </w:r>
          </w:p>
          <w:p>
            <w:pPr>
              <w:jc w:val="center"/>
              <w:rPr>
                <w:b/>
                <w:sz w:val="21"/>
                <w:szCs w:val="21"/>
              </w:rPr>
            </w:pPr>
          </w:p>
        </w:tc>
        <w:tc>
          <w:tcPr>
            <w:tcW w:w="2294" w:type="dxa"/>
            <w:vAlign w:val="center"/>
          </w:tcPr>
          <w:p>
            <w:pPr>
              <w:jc w:val="center"/>
              <w:rPr>
                <w:b/>
                <w:sz w:val="21"/>
                <w:szCs w:val="21"/>
              </w:rPr>
            </w:pPr>
            <w:r>
              <w:rPr>
                <w:b/>
                <w:sz w:val="21"/>
                <w:szCs w:val="21"/>
              </w:rPr>
              <w:t>重庆磊阔商贸有限公司</w:t>
            </w:r>
          </w:p>
        </w:tc>
        <w:tc>
          <w:tcPr>
            <w:tcW w:w="1772" w:type="dxa"/>
            <w:gridSpan w:val="2"/>
            <w:vAlign w:val="center"/>
          </w:tcPr>
          <w:p>
            <w:pPr>
              <w:jc w:val="center"/>
              <w:rPr>
                <w:b/>
                <w:sz w:val="21"/>
                <w:szCs w:val="21"/>
              </w:rPr>
            </w:pPr>
            <w:r>
              <w:rPr>
                <w:b/>
                <w:sz w:val="21"/>
                <w:szCs w:val="21"/>
              </w:rPr>
              <w:t>Q:04.04.02</w:t>
            </w:r>
          </w:p>
        </w:tc>
        <w:tc>
          <w:tcPr>
            <w:tcW w:w="1403" w:type="dxa"/>
            <w:vAlign w:val="center"/>
          </w:tcPr>
          <w:p>
            <w:pPr>
              <w:jc w:val="center"/>
              <w:rPr>
                <w:b/>
                <w:sz w:val="21"/>
                <w:szCs w:val="21"/>
              </w:rPr>
            </w:pPr>
            <w:r>
              <w:rPr>
                <w:b/>
                <w:sz w:val="21"/>
                <w:szCs w:val="21"/>
              </w:rPr>
              <w:t>ISC-JSZJ-028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680" w:type="dxa"/>
            <w:gridSpan w:val="2"/>
          </w:tcPr>
          <w:p>
            <w:pPr>
              <w:rPr>
                <w:b/>
                <w:sz w:val="21"/>
                <w:szCs w:val="21"/>
              </w:rPr>
            </w:pPr>
          </w:p>
        </w:tc>
        <w:tc>
          <w:tcPr>
            <w:tcW w:w="960" w:type="dxa"/>
          </w:tcPr>
          <w:p>
            <w:pPr>
              <w:rPr>
                <w:b/>
                <w:sz w:val="21"/>
                <w:szCs w:val="21"/>
              </w:rPr>
            </w:pPr>
          </w:p>
        </w:tc>
        <w:tc>
          <w:tcPr>
            <w:tcW w:w="1707" w:type="dxa"/>
          </w:tcPr>
          <w:p>
            <w:pPr>
              <w:rPr>
                <w:b/>
                <w:sz w:val="21"/>
                <w:szCs w:val="21"/>
              </w:rPr>
            </w:pPr>
          </w:p>
        </w:tc>
        <w:tc>
          <w:tcPr>
            <w:tcW w:w="2294" w:type="dxa"/>
          </w:tcPr>
          <w:p>
            <w:pPr>
              <w:rPr>
                <w:b/>
                <w:sz w:val="21"/>
                <w:szCs w:val="21"/>
              </w:rPr>
            </w:pPr>
          </w:p>
        </w:tc>
        <w:tc>
          <w:tcPr>
            <w:tcW w:w="1772" w:type="dxa"/>
            <w:gridSpan w:val="2"/>
          </w:tcPr>
          <w:p>
            <w:pPr>
              <w:rPr>
                <w:b/>
                <w:sz w:val="21"/>
                <w:szCs w:val="21"/>
              </w:rPr>
            </w:pPr>
          </w:p>
        </w:tc>
        <w:tc>
          <w:tcPr>
            <w:tcW w:w="140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680" w:type="dxa"/>
            <w:gridSpan w:val="2"/>
            <w:vAlign w:val="center"/>
          </w:tcPr>
          <w:p>
            <w:pPr>
              <w:jc w:val="center"/>
              <w:rPr>
                <w:b/>
                <w:sz w:val="21"/>
                <w:szCs w:val="21"/>
              </w:rPr>
            </w:pPr>
            <w:r>
              <w:rPr>
                <w:rFonts w:hint="eastAsia"/>
                <w:b/>
                <w:sz w:val="21"/>
                <w:szCs w:val="21"/>
              </w:rPr>
              <w:t>性别</w:t>
            </w:r>
          </w:p>
        </w:tc>
        <w:tc>
          <w:tcPr>
            <w:tcW w:w="960" w:type="dxa"/>
            <w:vAlign w:val="center"/>
          </w:tcPr>
          <w:p>
            <w:pPr>
              <w:jc w:val="center"/>
              <w:rPr>
                <w:b/>
                <w:sz w:val="21"/>
                <w:szCs w:val="21"/>
              </w:rPr>
            </w:pPr>
            <w:r>
              <w:rPr>
                <w:rFonts w:hint="eastAsia"/>
                <w:b/>
                <w:sz w:val="21"/>
                <w:szCs w:val="21"/>
              </w:rPr>
              <w:t>角色</w:t>
            </w:r>
          </w:p>
        </w:tc>
        <w:tc>
          <w:tcPr>
            <w:tcW w:w="7176"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680" w:type="dxa"/>
            <w:gridSpan w:val="2"/>
            <w:vAlign w:val="center"/>
          </w:tcPr>
          <w:p>
            <w:pPr>
              <w:jc w:val="center"/>
              <w:rPr>
                <w:b/>
                <w:sz w:val="21"/>
                <w:szCs w:val="21"/>
              </w:rPr>
            </w:pPr>
          </w:p>
        </w:tc>
        <w:tc>
          <w:tcPr>
            <w:tcW w:w="960" w:type="dxa"/>
            <w:vAlign w:val="center"/>
          </w:tcPr>
          <w:p>
            <w:pPr>
              <w:jc w:val="center"/>
              <w:rPr>
                <w:b/>
                <w:sz w:val="21"/>
                <w:szCs w:val="21"/>
              </w:rPr>
            </w:pPr>
          </w:p>
        </w:tc>
        <w:tc>
          <w:tcPr>
            <w:tcW w:w="7176"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680" w:type="dxa"/>
            <w:gridSpan w:val="2"/>
            <w:vAlign w:val="center"/>
          </w:tcPr>
          <w:p>
            <w:pPr>
              <w:jc w:val="center"/>
              <w:rPr>
                <w:b/>
              </w:rPr>
            </w:pPr>
          </w:p>
        </w:tc>
        <w:tc>
          <w:tcPr>
            <w:tcW w:w="960" w:type="dxa"/>
            <w:vAlign w:val="center"/>
          </w:tcPr>
          <w:p>
            <w:pPr>
              <w:jc w:val="center"/>
              <w:rPr>
                <w:b/>
              </w:rPr>
            </w:pPr>
          </w:p>
        </w:tc>
        <w:tc>
          <w:tcPr>
            <w:tcW w:w="7176"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ascii="宋体" w:hAnsi="宋体" w:eastAsia="宋体" w:cs="宋体"/>
          <w:b/>
          <w:sz w:val="21"/>
          <w:szCs w:val="21"/>
        </w:rPr>
        <w:t>■</w:t>
      </w:r>
      <w:r>
        <w:rPr>
          <w:rFonts w:hint="eastAsia"/>
          <w:b/>
          <w:sz w:val="21"/>
          <w:szCs w:val="21"/>
        </w:rPr>
        <w:t>保持认证注册资格：____监督</w:t>
      </w:r>
      <w:r>
        <w:rPr>
          <w:rFonts w:hint="eastAsia"/>
          <w:b/>
          <w:sz w:val="21"/>
          <w:szCs w:val="21"/>
          <w:lang w:val="en-US" w:eastAsia="zh-CN"/>
        </w:rPr>
        <w:t>2</w:t>
      </w:r>
      <w:r>
        <w:rPr>
          <w:rFonts w:hint="eastAsia"/>
          <w:b/>
          <w:sz w:val="21"/>
          <w:szCs w:val="21"/>
        </w:rPr>
        <w:t>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r>
        <w:rPr>
          <w:rFonts w:hint="eastAsia"/>
          <w:b/>
          <w:sz w:val="21"/>
          <w:szCs w:val="21"/>
          <w:lang w:eastAsia="zh-CN"/>
        </w:rPr>
        <w:t>□</w:t>
      </w:r>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auto"/>
                <w:sz w:val="21"/>
              </w:rPr>
              <w:t>重庆耐斯布艺有限公司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重庆市江北区红原路171号21-18</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50015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重庆市江北区红原路171号21-18</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50015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重庆市江北区红原路171号21-18</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50015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孙高</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18996001600</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孙高</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孙高</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2020年09月18日 下午至2020年09月18日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hint="eastAsia" w:eastAsia="宋体"/>
                <w:sz w:val="20"/>
                <w:lang w:eastAsia="zh-CN"/>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sz w:val="20"/>
              </w:rPr>
              <w:t>遮阳产品（布艺窗帘、百叶、卷帘、柔纱帘）的设计、生产、销售和服务; 地毯、服装、床上用品、工艺品的销售</w:t>
            </w:r>
            <w:r>
              <w:rPr>
                <w:rFonts w:hint="eastAsia"/>
                <w:sz w:val="20"/>
                <w:lang w:eastAsia="zh-CN"/>
              </w:rPr>
              <w:t>。</w:t>
            </w:r>
          </w:p>
          <w:bookmarkEnd w:id="23"/>
          <w:p>
            <w:pPr>
              <w:rPr>
                <w:rFonts w:hint="eastAsia" w:ascii="宋体" w:hAnsi="宋体" w:eastAsia="宋体"/>
                <w:b/>
                <w:sz w:val="21"/>
                <w:szCs w:val="21"/>
                <w:lang w:eastAsia="zh-CN"/>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遮阳产品（布艺窗帘、百叶、卷帘、柔纱帘）、地毯、服装、床上用品、工艺品销售所涉及的相关环境管理活动</w:t>
            </w:r>
            <w:r>
              <w:rPr>
                <w:rFonts w:hint="eastAsia"/>
                <w:sz w:val="20"/>
                <w:lang w:eastAsia="zh-CN"/>
              </w:rPr>
              <w:t>。</w:t>
            </w:r>
          </w:p>
          <w:p>
            <w:pPr>
              <w:spacing w:line="360" w:lineRule="exact"/>
              <w:rPr>
                <w:rFonts w:hint="eastAsia" w:ascii="宋体" w:hAnsi="宋体" w:eastAsia="宋体"/>
                <w:b/>
                <w:sz w:val="21"/>
                <w:szCs w:val="21"/>
                <w:lang w:eastAsia="zh-CN"/>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遮阳产品（布艺窗帘、百叶、卷帘、柔纱帘）、地毯、服装、床上用品、工艺品的销售所涉及的相关职业健康安全管理活动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Q：04.04.02;14.02.03;29.12.00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2021.7.22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val="en-US" w:eastAsia="zh-CN"/>
              </w:rPr>
              <w:t>2</w:t>
            </w:r>
            <w:r>
              <w:rPr>
                <w:rFonts w:hint="eastAsia" w:ascii="宋体" w:hAnsi="宋体"/>
                <w:b/>
                <w:sz w:val="21"/>
                <w:szCs w:val="21"/>
                <w:lang w:val="en-US" w:eastAsia="zh-CN"/>
              </w:rPr>
              <w:t>019.8.31</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r>
        <w:rPr>
          <w:rFonts w:hint="eastAsia"/>
          <w:b/>
          <w:sz w:val="26"/>
          <w:szCs w:val="26"/>
        </w:rPr>
        <w:t>五、审核活动安排综述</w:t>
      </w:r>
    </w:p>
    <w:p>
      <w:pPr>
        <w:tabs>
          <w:tab w:val="left" w:pos="645"/>
        </w:tabs>
        <w:spacing w:after="163" w:afterLines="50" w:line="36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widowControl/>
        <w:jc w:val="left"/>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ascii="宋体" w:hAnsi="宋体"/>
          <w:b/>
          <w:sz w:val="21"/>
          <w:szCs w:val="21"/>
        </w:rPr>
        <w:t>遮阳产品（布艺窗帘、百叶、卷帘、柔纱帘）的设计、生产、销售和服务; 地毯、服装、床上用品、工艺品的销售</w:t>
      </w:r>
    </w:p>
    <w:p>
      <w:pPr>
        <w:widowControl/>
        <w:jc w:val="left"/>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w:t>
      </w:r>
      <w:r>
        <w:rPr>
          <w:rFonts w:hint="eastAsia" w:ascii="宋体" w:hAnsi="宋体"/>
          <w:b/>
          <w:sz w:val="21"/>
          <w:szCs w:val="21"/>
          <w:lang w:val="en-US" w:eastAsia="zh-CN"/>
        </w:rPr>
        <w:t>年</w:t>
      </w:r>
      <w:r>
        <w:rPr>
          <w:rFonts w:hint="eastAsia" w:ascii="宋体" w:hAnsi="宋体"/>
          <w:b/>
          <w:sz w:val="21"/>
          <w:szCs w:val="21"/>
        </w:rPr>
        <w:t>8</w:t>
      </w:r>
      <w:r>
        <w:rPr>
          <w:rFonts w:hint="eastAsia" w:ascii="宋体" w:hAnsi="宋体"/>
          <w:b/>
          <w:sz w:val="21"/>
          <w:szCs w:val="21"/>
          <w:lang w:val="en-US" w:eastAsia="zh-CN"/>
        </w:rPr>
        <w:t>月</w:t>
      </w:r>
      <w:r>
        <w:rPr>
          <w:rFonts w:hint="eastAsia" w:ascii="宋体" w:hAnsi="宋体"/>
          <w:b/>
          <w:sz w:val="21"/>
          <w:szCs w:val="21"/>
        </w:rPr>
        <w:t>31</w:t>
      </w:r>
      <w:r>
        <w:rPr>
          <w:rFonts w:hint="eastAsia" w:ascii="宋体" w:hAnsi="宋体"/>
          <w:b/>
          <w:sz w:val="21"/>
          <w:szCs w:val="21"/>
          <w:lang w:val="en-US" w:eastAsia="zh-CN"/>
        </w:rPr>
        <w:t>日</w:t>
      </w:r>
      <w:r>
        <w:rPr>
          <w:rFonts w:hint="eastAsia" w:ascii="宋体" w:hAnsi="宋体"/>
          <w:b/>
          <w:sz w:val="21"/>
          <w:szCs w:val="21"/>
        </w:rPr>
        <w:t>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0" w:lineRule="atLeast"/>
              <w:jc w:val="left"/>
              <w:rPr>
                <w:rFonts w:ascii="宋体" w:hAnsi="宋体"/>
                <w:szCs w:val="21"/>
              </w:rPr>
            </w:pPr>
            <w:r>
              <w:rPr>
                <w:b/>
                <w:color w:val="000000"/>
                <w:sz w:val="20"/>
              </w:rPr>
              <w:t>1</w:t>
            </w:r>
            <w:r>
              <w:rPr>
                <w:rFonts w:hint="eastAsia"/>
                <w:b/>
                <w:color w:val="000000"/>
                <w:sz w:val="20"/>
              </w:rPr>
              <w:t>.组织及其环境的识别情况：</w:t>
            </w:r>
          </w:p>
          <w:p>
            <w:pPr>
              <w:spacing w:line="0" w:lineRule="atLeast"/>
              <w:ind w:firstLine="420" w:firstLineChars="200"/>
              <w:jc w:val="left"/>
              <w:rPr>
                <w:b/>
                <w:color w:val="000000"/>
                <w:sz w:val="21"/>
                <w:szCs w:val="21"/>
              </w:rPr>
            </w:pPr>
            <w:r>
              <w:rPr>
                <w:rFonts w:hint="eastAsia" w:ascii="宋体" w:hAnsi="宋体"/>
                <w:sz w:val="21"/>
                <w:szCs w:val="21"/>
              </w:rPr>
              <w:t>重庆耐斯布艺有限公司是一家专业事服装、窗帘、床上用品等产品生产、销售的企业。产品主要销售到学校、事业单位和政府部门。现有员工数</w:t>
            </w:r>
            <w:r>
              <w:rPr>
                <w:rFonts w:hint="eastAsia" w:ascii="宋体" w:hAnsi="宋体"/>
                <w:sz w:val="21"/>
                <w:szCs w:val="21"/>
                <w:lang w:val="en-US" w:eastAsia="zh-CN"/>
              </w:rPr>
              <w:t>18</w:t>
            </w:r>
            <w:r>
              <w:rPr>
                <w:rFonts w:hint="eastAsia" w:ascii="宋体" w:hAnsi="宋体"/>
                <w:sz w:val="21"/>
                <w:szCs w:val="21"/>
              </w:rPr>
              <w:t>人，经营状况良好。组织对内外部因素、相关方需求和期望进行了充分的识别，策划和实施有效。确定了体系的边界，基本适用。管理体系全适用，无删减。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b/>
                <w:color w:val="000000"/>
                <w:sz w:val="20"/>
              </w:rPr>
            </w:pPr>
            <w:r>
              <w:rPr>
                <w:rFonts w:hint="eastAsia"/>
                <w:b/>
                <w:color w:val="000000"/>
                <w:sz w:val="20"/>
              </w:rPr>
              <w:t>2.相关方需求和期望识别情况：</w:t>
            </w:r>
          </w:p>
          <w:p>
            <w:pPr>
              <w:spacing w:line="360" w:lineRule="auto"/>
              <w:ind w:firstLine="420" w:firstLineChars="200"/>
              <w:rPr>
                <w:b/>
                <w:color w:val="000000"/>
                <w:sz w:val="20"/>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360" w:lineRule="auto"/>
              <w:jc w:val="both"/>
              <w:rPr>
                <w:rFonts w:hint="eastAsia" w:ascii="宋体" w:hAnsi="宋体" w:eastAsia="宋体" w:cs="宋体"/>
                <w:color w:val="000000"/>
                <w:sz w:val="21"/>
                <w:szCs w:val="21"/>
                <w:lang w:eastAsia="zh-CN"/>
              </w:rPr>
            </w:pPr>
            <w:r>
              <w:rPr>
                <w:rFonts w:hint="eastAsia"/>
                <w:b/>
                <w:spacing w:val="-10"/>
                <w:szCs w:val="21"/>
              </w:rPr>
              <w:t>3.☑</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持续适宜性、方针的传达及职工的理解等）组织的方针为：</w:t>
            </w:r>
            <w:r>
              <w:rPr>
                <w:rFonts w:hint="eastAsia" w:ascii="宋体" w:hAnsi="宋体" w:cs="宋体"/>
                <w:color w:val="000000"/>
                <w:sz w:val="21"/>
                <w:szCs w:val="21"/>
              </w:rPr>
              <w:t>“保证质量  快速安装  以客为尊，顾客满意</w:t>
            </w:r>
            <w:r>
              <w:rPr>
                <w:rFonts w:hint="eastAsia" w:ascii="宋体" w:hAnsi="宋体" w:cs="宋体"/>
                <w:color w:val="000000"/>
                <w:sz w:val="21"/>
                <w:szCs w:val="21"/>
                <w:lang w:eastAsia="zh-CN"/>
              </w:rPr>
              <w:t>；</w:t>
            </w:r>
            <w:r>
              <w:rPr>
                <w:rFonts w:hint="eastAsia" w:ascii="宋体" w:hAnsi="宋体" w:cs="宋体"/>
                <w:color w:val="000000"/>
                <w:sz w:val="21"/>
                <w:szCs w:val="21"/>
              </w:rPr>
              <w:t>节能降耗，保护环境，以人为本，安全第一</w:t>
            </w:r>
            <w:r>
              <w:rPr>
                <w:rFonts w:hint="eastAsia" w:ascii="宋体" w:hAnsi="宋体" w:cs="宋体"/>
                <w:color w:val="000000"/>
                <w:sz w:val="21"/>
                <w:szCs w:val="21"/>
                <w:lang w:eastAsia="zh-CN"/>
              </w:rPr>
              <w:t>；</w:t>
            </w:r>
            <w:r>
              <w:rPr>
                <w:rFonts w:hint="eastAsia" w:ascii="宋体" w:hAnsi="宋体" w:cs="宋体"/>
                <w:color w:val="000000"/>
                <w:sz w:val="21"/>
                <w:szCs w:val="21"/>
              </w:rPr>
              <w:t>预防为主，综合治理，规范管理，持续改进</w:t>
            </w:r>
            <w:r>
              <w:rPr>
                <w:rFonts w:hint="eastAsia" w:ascii="宋体" w:hAnsi="宋体" w:cs="宋体"/>
                <w:color w:val="000000"/>
                <w:sz w:val="21"/>
                <w:szCs w:val="21"/>
              </w:rPr>
              <w:t>”</w:t>
            </w:r>
            <w:r>
              <w:rPr>
                <w:rFonts w:hint="eastAsia" w:ascii="宋体" w:hAnsi="宋体" w:cs="宋体"/>
                <w:color w:val="000000"/>
                <w:sz w:val="21"/>
                <w:szCs w:val="21"/>
                <w:lang w:eastAsia="zh-CN"/>
              </w:rPr>
              <w:t>。</w:t>
            </w:r>
          </w:p>
          <w:p>
            <w:pPr>
              <w:spacing w:line="360" w:lineRule="auto"/>
              <w:ind w:firstLine="682" w:firstLineChars="325"/>
              <w:jc w:val="both"/>
              <w:rPr>
                <w:b/>
                <w:sz w:val="20"/>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b/>
                <w:color w:val="000000"/>
              </w:rPr>
            </w:pPr>
            <w:r>
              <w:rPr>
                <w:rFonts w:hint="eastAsia"/>
                <w:b/>
                <w:color w:val="000000"/>
              </w:rPr>
              <w:t>4.风险识别与控制策划：</w:t>
            </w:r>
          </w:p>
          <w:p>
            <w:pPr>
              <w:spacing w:line="280" w:lineRule="exact"/>
              <w:ind w:firstLine="420" w:firstLineChars="200"/>
              <w:rPr>
                <w:b/>
                <w:color w:val="000000"/>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5</w:t>
            </w:r>
            <w:r>
              <w:rPr>
                <w:rFonts w:hint="eastAsia"/>
                <w:b/>
                <w:szCs w:val="21"/>
              </w:rPr>
              <w:t>.</w:t>
            </w:r>
            <w:r>
              <w:rPr>
                <w:b/>
                <w:szCs w:val="21"/>
              </w:rPr>
              <w:t>QMS</w:t>
            </w:r>
            <w:r>
              <w:rPr>
                <w:rFonts w:hint="eastAsia" w:ascii="宋体" w:hAnsi="宋体"/>
                <w:b/>
                <w:szCs w:val="21"/>
              </w:rPr>
              <w:t>过程</w:t>
            </w:r>
          </w:p>
          <w:p>
            <w:pPr>
              <w:widowControl/>
              <w:spacing w:line="400" w:lineRule="exact"/>
              <w:rPr>
                <w:rFonts w:ascii="宋体" w:hAnsi="宋体"/>
                <w:b/>
                <w:szCs w:val="21"/>
              </w:rPr>
            </w:pPr>
            <w:r>
              <w:rPr>
                <w:rFonts w:hint="eastAsia" w:ascii="宋体" w:hAnsi="宋体"/>
                <w:b/>
                <w:szCs w:val="21"/>
              </w:rPr>
              <w:t>质量管理体系过程有：</w:t>
            </w:r>
          </w:p>
          <w:p>
            <w:pPr>
              <w:spacing w:line="460" w:lineRule="atLeast"/>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遮阳产品流程：合同签订——设计——下料——缝纫——装配——检验——入库</w:t>
            </w:r>
            <w:r>
              <w:rPr>
                <w:rFonts w:hint="eastAsia" w:asciiTheme="minorEastAsia" w:hAnsiTheme="minorEastAsia" w:eastAsiaTheme="minorEastAsia"/>
                <w:sz w:val="21"/>
                <w:szCs w:val="21"/>
                <w:lang w:eastAsia="zh-CN"/>
              </w:rPr>
              <w:t>。</w:t>
            </w:r>
          </w:p>
          <w:p>
            <w:pPr>
              <w:rPr>
                <w:rFonts w:asciiTheme="minorEastAsia" w:hAnsiTheme="minorEastAsia" w:eastAsiaTheme="minorEastAsia"/>
                <w:sz w:val="18"/>
                <w:szCs w:val="18"/>
              </w:rPr>
            </w:pPr>
            <w:r>
              <w:rPr>
                <w:rFonts w:hint="eastAsia" w:asciiTheme="minorEastAsia" w:hAnsiTheme="minorEastAsia" w:eastAsiaTheme="minorEastAsia"/>
                <w:sz w:val="21"/>
                <w:szCs w:val="21"/>
              </w:rPr>
              <w:t>销售流程：</w:t>
            </w:r>
            <w:r>
              <w:rPr>
                <w:rFonts w:asciiTheme="minorEastAsia" w:hAnsiTheme="minorEastAsia" w:eastAsiaTheme="minorEastAsia"/>
                <w:color w:val="000000"/>
                <w:sz w:val="21"/>
                <w:szCs w:val="21"/>
              </w:rPr>
              <w:t>客户需求----签订合同---进行采购----产品检验----交付客户---验收</w:t>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ascii="宋体" w:hAnsi="宋体"/>
                <w:b/>
                <w:szCs w:val="21"/>
                <w:u w:val="single"/>
              </w:rPr>
              <w:t>设计、销售</w:t>
            </w:r>
            <w:r>
              <w:rPr>
                <w:rFonts w:ascii="宋体" w:hAnsi="宋体"/>
                <w:b/>
                <w:szCs w:val="21"/>
                <w:u w:val="single"/>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宋体" w:hAnsi="宋体" w:cs="宋体"/>
                <w:color w:val="000000"/>
                <w:sz w:val="21"/>
                <w:szCs w:val="21"/>
                <w:u w:val="single"/>
              </w:rPr>
              <w:t>销售</w:t>
            </w:r>
            <w:r>
              <w:rPr>
                <w:rFonts w:ascii="宋体" w:hAnsi="宋体"/>
                <w:b/>
                <w:szCs w:val="21"/>
                <w:u w:val="single"/>
              </w:rPr>
              <w:t xml:space="preserve">                                                           </w:t>
            </w:r>
            <w:r>
              <w:rPr>
                <w:rFonts w:ascii="宋体" w:hAnsi="宋体"/>
                <w:b/>
                <w:szCs w:val="21"/>
              </w:rPr>
              <w:t xml:space="preserve"> </w:t>
            </w:r>
          </w:p>
          <w:p>
            <w:pPr>
              <w:tabs>
                <w:tab w:val="left" w:pos="540"/>
              </w:tabs>
              <w:spacing w:line="300" w:lineRule="exact"/>
              <w:ind w:left="240" w:hanging="240" w:hangingChars="100"/>
              <w:rPr>
                <w:rFonts w:ascii="宋体"/>
                <w:b/>
                <w:szCs w:val="21"/>
              </w:rPr>
            </w:pPr>
            <w:r>
              <w:pict>
                <v:shape id="_x0000_s2051" o:spid="_x0000_s2051" o:spt="32" type="#_x0000_t32" style="position:absolute;left:0pt;margin-left:157.9pt;margin-top:12.75pt;height:0pt;width:261.75pt;z-index:2048;mso-width-relative:page;mso-height-relative:page;" o:connectortype="straight" filled="f" coordsize="21600,21600">
                  <v:path arrowok="t"/>
                  <v:fill on="f" focussize="0,0"/>
                  <v:stroke/>
                  <v:imagedata o:title=""/>
                  <o:lock v:ext="edit"/>
                </v:shape>
              </w:pict>
            </w:r>
            <w:r>
              <w:pict>
                <v:shape id="_x0000_s2052" o:spid="_x0000_s2052" o:spt="32" type="#_x0000_t32" style="position:absolute;left:0pt;margin-left:55.15pt;margin-top:12.75pt;height:0pt;width:42pt;z-index:2048;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rPr>
              <w:t>无</w:t>
            </w:r>
            <w:r>
              <w:rPr>
                <w:rFonts w:ascii="宋体" w:hAnsi="宋体"/>
                <w:b/>
                <w:szCs w:val="21"/>
              </w:rPr>
              <w:t xml:space="preserve">      </w:t>
            </w:r>
            <w:r>
              <w:rPr>
                <w:rFonts w:hint="eastAsia" w:ascii="宋体" w:hAnsi="宋体"/>
                <w:b/>
                <w:szCs w:val="21"/>
              </w:rPr>
              <w:t>，删减理由：</w:t>
            </w:r>
            <w:r>
              <w:rPr>
                <w:rFonts w:hint="eastAsia" w:ascii="宋体" w:hAnsi="宋体" w:cs="宋体"/>
                <w:sz w:val="21"/>
                <w:szCs w:val="21"/>
              </w:rPr>
              <w:t>。</w:t>
            </w:r>
            <w:r>
              <w:rPr>
                <w:rFonts w:ascii="宋体" w:hAnsi="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b/>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pacing w:val="-10"/>
                <w:szCs w:val="21"/>
              </w:rPr>
              <w:t xml:space="preserve">7. </w:t>
            </w:r>
            <w:r>
              <w:rPr>
                <w:rFonts w:hint="eastAsia" w:ascii="MS Mincho" w:hAnsi="MS Mincho" w:eastAsia="MS Mincho" w:cs="MS Mincho"/>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color w:val="000000"/>
                <w:spacing w:val="-8"/>
                <w:sz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ascii="宋体" w:hAnsi="宋体"/>
                <w:color w:val="000000" w:themeColor="text1"/>
                <w:lang w:val="en-US" w:eastAsia="zh-CN"/>
              </w:rPr>
              <w:t>火灾、触电、意外人身伤害等）</w:t>
            </w:r>
            <w:r>
              <w:rPr>
                <w:rFonts w:hint="eastAsia" w:ascii="宋体" w:hAnsi="宋体"/>
                <w:color w:val="000000" w:themeColor="text1"/>
              </w:rPr>
              <w:t>，与之相关的过程有安装，针对重要危险源制定了管理方案。控制措施实施有效。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pStyle w:val="14"/>
              <w:tabs>
                <w:tab w:val="left" w:pos="540"/>
              </w:tabs>
              <w:spacing w:line="300" w:lineRule="exact"/>
              <w:ind w:firstLine="0" w:firstLineChars="0"/>
              <w:rPr>
                <w:b/>
                <w:sz w:val="14"/>
                <w:szCs w:val="14"/>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rFonts w:hint="eastAsia" w:ascii="宋体" w:hAnsi="宋体"/>
                <w:b/>
                <w:szCs w:val="21"/>
              </w:rPr>
              <w:t>9.目标、方案</w:t>
            </w:r>
          </w:p>
          <w:p>
            <w:pPr>
              <w:spacing w:line="300" w:lineRule="exact"/>
              <w:rPr>
                <w:rFonts w:ascii="宋体" w:hAnsi="宋体" w:cs="宋体"/>
                <w:color w:val="000000"/>
                <w:kern w:val="0"/>
                <w:sz w:val="21"/>
                <w:szCs w:val="21"/>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可测量的目标，目标、方案的有效性，对目标的实现情况进行评价并叙述测量方法）：</w:t>
            </w:r>
          </w:p>
          <w:p>
            <w:pPr>
              <w:spacing w:line="300" w:lineRule="exact"/>
              <w:ind w:firstLine="420" w:firstLineChars="200"/>
              <w:rPr>
                <w:rFonts w:ascii="宋体"/>
                <w:b/>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tabs>
                <w:tab w:val="left" w:pos="902"/>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4月11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b/>
                <w:color w:val="000000"/>
                <w:sz w:val="20"/>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设备设施（包括信息系统）</w:t>
            </w:r>
          </w:p>
          <w:p>
            <w:pPr>
              <w:spacing w:line="360" w:lineRule="auto"/>
              <w:rPr>
                <w:rFonts w:ascii="宋体"/>
                <w:b/>
                <w:sz w:val="20"/>
              </w:rPr>
            </w:pPr>
            <w:r>
              <w:rPr>
                <w:rFonts w:hint="eastAsia" w:ascii="宋体"/>
                <w:b/>
                <w:color w:val="000000"/>
                <w:sz w:val="20"/>
              </w:rPr>
              <w:t xml:space="preserve">  </w:t>
            </w:r>
            <w:r>
              <w:rPr>
                <w:rFonts w:hint="eastAsia" w:ascii="宋体"/>
                <w:b/>
                <w:sz w:val="20"/>
              </w:rPr>
              <w:t xml:space="preserve">  </w:t>
            </w:r>
            <w:r>
              <w:rPr>
                <w:rFonts w:hint="eastAsia" w:ascii="宋体" w:hAnsi="宋体" w:cs="宋体"/>
                <w:color w:val="auto"/>
                <w:sz w:val="21"/>
                <w:szCs w:val="21"/>
              </w:rPr>
              <w:t>办公场所面积100平方米左右,生产场地200平米左右.主</w:t>
            </w:r>
            <w:r>
              <w:rPr>
                <w:rFonts w:hint="eastAsia" w:ascii="宋体" w:hAnsi="宋体" w:cs="宋体"/>
                <w:sz w:val="21"/>
                <w:szCs w:val="21"/>
              </w:rPr>
              <w:t>要为</w:t>
            </w:r>
            <w:r>
              <w:rPr>
                <w:rFonts w:ascii="宋体" w:hAnsi="宋体" w:cs="宋体"/>
                <w:kern w:val="0"/>
                <w:sz w:val="21"/>
                <w:szCs w:val="21"/>
              </w:rPr>
              <w:t>电脑、打印机和缝纫机、绞边机、锁边机、熨烫设备、蒸汽发生器、裁剪台</w:t>
            </w:r>
            <w:r>
              <w:rPr>
                <w:rFonts w:hint="eastAsia" w:ascii="宋体" w:hAnsi="宋体" w:cs="宋体"/>
                <w:kern w:val="0"/>
                <w:sz w:val="21"/>
                <w:szCs w:val="21"/>
              </w:rPr>
              <w:t>等.</w:t>
            </w:r>
            <w:r>
              <w:rPr>
                <w:rFonts w:hint="eastAsia" w:ascii="宋体" w:hAnsi="宋体" w:cs="宋体"/>
                <w:sz w:val="21"/>
                <w:szCs w:val="21"/>
              </w:rPr>
              <w:t>可以满足加工、销售需要。生技部对设备进行了维护保养，并实施。特种设备：</w:t>
            </w:r>
            <w:r>
              <w:rPr>
                <w:rFonts w:hint="eastAsia" w:ascii="宋体" w:hAnsi="宋体"/>
                <w:sz w:val="21"/>
                <w:szCs w:val="21"/>
              </w:rPr>
              <w:t>无</w:t>
            </w:r>
            <w:r>
              <w:rPr>
                <w:rFonts w:hint="eastAsia" w:ascii="宋体" w:hAnsi="宋体" w:cs="宋体"/>
                <w:sz w:val="21"/>
                <w:szCs w:val="21"/>
              </w:rPr>
              <w:t>。产品运输交由物流公司进行，公司未建立信息管理系统用于生产、销售服务。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b/>
                <w:color w:val="000000"/>
                <w:sz w:val="20"/>
              </w:rPr>
            </w:pPr>
            <w:r>
              <w:rPr>
                <w:rFonts w:hint="eastAsia" w:ascii="宋体" w:hAnsi="宋体" w:cs="宋体"/>
                <w:sz w:val="21"/>
                <w:szCs w:val="21"/>
              </w:rPr>
              <w:t>生产车间内设备布置合理，通道畅通，照明设施齐全，均配备了消防设施等设施，能满足销售服务。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监视和测量资源</w:t>
            </w:r>
          </w:p>
          <w:p>
            <w:pPr>
              <w:spacing w:line="400" w:lineRule="exact"/>
              <w:ind w:firstLine="315" w:firstLineChars="150"/>
              <w:rPr>
                <w:rFonts w:ascii="宋体" w:hAnsi="宋体"/>
                <w:b/>
                <w:color w:val="000000"/>
                <w:sz w:val="21"/>
                <w:szCs w:val="21"/>
              </w:rPr>
            </w:pPr>
            <w:r>
              <w:rPr>
                <w:rFonts w:hint="eastAsia" w:ascii="宋体"/>
                <w:color w:val="000000"/>
                <w:sz w:val="21"/>
                <w:szCs w:val="21"/>
              </w:rPr>
              <w:t>配置有卷尺、米尺</w:t>
            </w:r>
            <w:r>
              <w:rPr>
                <w:rFonts w:hint="eastAsia" w:ascii="宋体" w:hAnsi="宋体" w:cs="宋体"/>
                <w:color w:val="666666"/>
                <w:sz w:val="21"/>
                <w:szCs w:val="21"/>
                <w:shd w:val="clear" w:color="auto" w:fill="FFFFFF"/>
              </w:rPr>
              <w:t>等</w:t>
            </w:r>
            <w:r>
              <w:rPr>
                <w:rFonts w:hint="eastAsia" w:ascii="宋体" w:hAnsi="宋体" w:cs="宋体"/>
                <w:sz w:val="21"/>
                <w:szCs w:val="21"/>
              </w:rPr>
              <w:t>。能满足检验要求。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b/>
                <w:color w:val="000000"/>
                <w:sz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环保设施：灭火器、消防栓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职业健康安全设施：灭火器、配电箱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firstLine="420" w:firstLineChars="200"/>
              <w:rPr>
                <w:b/>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szCs w:val="21"/>
              </w:rPr>
            </w:pPr>
            <w:r>
              <w:rPr>
                <w:rFonts w:hint="eastAsia" w:ascii="楷体_GB2312" w:eastAsia="楷体_GB2312"/>
                <w:b/>
                <w:color w:val="000000" w:themeColor="text1"/>
                <w:sz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color w:val="000000" w:themeColor="text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b/>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01" w:firstLineChars="100"/>
              <w:rPr>
                <w:rFonts w:ascii="宋体" w:hAnsi="宋体" w:cs="宋体"/>
                <w:color w:val="000000"/>
                <w:sz w:val="21"/>
                <w:szCs w:val="21"/>
              </w:rPr>
            </w:pPr>
            <w:r>
              <w:rPr>
                <w:rFonts w:hint="eastAsia"/>
                <w:b/>
                <w:color w:val="000000"/>
                <w:sz w:val="20"/>
              </w:rPr>
              <w:t xml:space="preserve">  </w:t>
            </w: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60" w:lineRule="auto"/>
              <w:ind w:firstLine="210" w:firstLineChars="100"/>
              <w:rPr>
                <w:rFonts w:ascii="宋体" w:hAnsi="宋体" w:cs="宋体"/>
                <w:sz w:val="21"/>
                <w:szCs w:val="21"/>
              </w:rPr>
            </w:pPr>
            <w:r>
              <w:rPr>
                <w:rFonts w:hint="eastAsia" w:ascii="宋体" w:hAnsi="宋体" w:cs="宋体"/>
                <w:sz w:val="21"/>
                <w:szCs w:val="21"/>
              </w:rPr>
              <w:t>无</w:t>
            </w:r>
          </w:p>
          <w:p>
            <w:pPr>
              <w:spacing w:line="300" w:lineRule="exact"/>
              <w:ind w:firstLine="197" w:firstLineChars="98"/>
              <w:rPr>
                <w:b/>
                <w:color w:val="000000"/>
                <w:sz w:val="20"/>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20" w:firstLineChars="200"/>
              <w:jc w:val="left"/>
              <w:rPr>
                <w:b/>
                <w:color w:val="000000"/>
                <w:sz w:val="18"/>
                <w:szCs w:val="18"/>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05" w:firstLineChars="50"/>
              <w:jc w:val="left"/>
              <w:rPr>
                <w:rFonts w:ascii="宋体" w:hAnsi="宋体" w:cs="宋体"/>
                <w:color w:val="000000"/>
                <w:sz w:val="21"/>
                <w:szCs w:val="21"/>
              </w:rPr>
            </w:pPr>
            <w:r>
              <w:rPr>
                <w:rFonts w:hint="eastAsia" w:ascii="宋体" w:hAnsi="宋体" w:cs="宋体"/>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pPr>
              <w:spacing w:line="240" w:lineRule="exact"/>
              <w:ind w:left="100" w:hanging="100" w:hangingChars="50"/>
              <w:rPr>
                <w:rFonts w:ascii="宋体" w:hAnsi="宋体"/>
                <w:b/>
                <w:sz w:val="20"/>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240" w:lineRule="exact"/>
              <w:ind w:left="-120" w:leftChars="-50" w:firstLine="420" w:firstLineChars="200"/>
              <w:rPr>
                <w:rFonts w:ascii="宋体"/>
                <w:b/>
                <w:sz w:val="20"/>
              </w:rPr>
            </w:pPr>
            <w:r>
              <w:rPr>
                <w:rFonts w:hint="eastAsia" w:ascii="宋体" w:hAnsi="宋体" w:cs="宋体"/>
                <w:color w:val="000000"/>
                <w:sz w:val="21"/>
                <w:szCs w:val="21"/>
              </w:rPr>
              <w:t>公司制定、发布了总体目标并分解到相关职能部门和层次，规定了目标值、计算方法、责任部门、检查人、考核频次等。同时，目标得到沟通和监视</w:t>
            </w:r>
            <w:r>
              <w:rPr>
                <w:rFonts w:hint="eastAsia" w:ascii="宋体" w:hAnsi="宋体" w:cs="宋体"/>
                <w:sz w:val="21"/>
                <w:szCs w:val="21"/>
              </w:rPr>
              <w:t>评价，通过数据的汇总统计、描述性统计等方法对目标进行了测量，总体已达到或超过了规定的目</w:t>
            </w:r>
            <w:r>
              <w:rPr>
                <w:rFonts w:hint="eastAsia" w:ascii="宋体" w:hAnsi="宋体" w:cs="宋体"/>
                <w:color w:val="auto"/>
                <w:sz w:val="21"/>
                <w:szCs w:val="21"/>
              </w:rPr>
              <w:t>标值。通过2019年1-8月目标</w:t>
            </w:r>
            <w:r>
              <w:rPr>
                <w:rFonts w:hint="eastAsia" w:ascii="宋体" w:hAnsi="宋体" w:cs="宋体"/>
                <w:sz w:val="21"/>
                <w:szCs w:val="21"/>
              </w:rPr>
              <w:t>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1"/>
              </w:numPr>
              <w:spacing w:line="240" w:lineRule="exact"/>
              <w:ind w:left="105" w:hanging="105" w:hangingChars="50"/>
              <w:rPr>
                <w:rFonts w:ascii="宋体" w:hAnsi="宋体" w:cs="宋体"/>
                <w:color w:val="000000"/>
                <w:sz w:val="21"/>
                <w:szCs w:val="21"/>
              </w:rPr>
            </w:pPr>
            <w:r>
              <w:rPr>
                <w:rFonts w:hint="eastAsia" w:ascii="宋体" w:hAnsi="宋体" w:cs="宋体"/>
                <w:color w:val="000000"/>
                <w:sz w:val="21"/>
                <w:szCs w:val="21"/>
              </w:rPr>
              <w:t>顾客满意</w:t>
            </w:r>
          </w:p>
          <w:p>
            <w:pPr>
              <w:spacing w:line="240" w:lineRule="exact"/>
              <w:ind w:left="-120" w:leftChars="-50" w:firstLine="420" w:firstLineChars="200"/>
              <w:rPr>
                <w:rFonts w:ascii="宋体" w:hAnsi="宋体" w:cs="宋体"/>
                <w:color w:val="000000"/>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w:t>
            </w:r>
            <w:r>
              <w:rPr>
                <w:rFonts w:hint="eastAsia" w:ascii="宋体" w:hAnsi="宋体" w:cs="宋体"/>
                <w:color w:val="auto"/>
                <w:sz w:val="21"/>
                <w:szCs w:val="21"/>
              </w:rPr>
              <w:t>客满意度调查按规定实施，20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月实施，满意度评价</w:t>
            </w:r>
            <w:r>
              <w:rPr>
                <w:rFonts w:hint="eastAsia" w:ascii="宋体" w:hAnsi="宋体" w:cs="宋体"/>
                <w:color w:val="auto"/>
                <w:sz w:val="21"/>
                <w:szCs w:val="21"/>
                <w:lang w:val="en-US" w:eastAsia="zh-CN"/>
              </w:rPr>
              <w:t>97分</w:t>
            </w:r>
            <w:r>
              <w:rPr>
                <w:rFonts w:hint="eastAsia" w:ascii="宋体" w:hAnsi="宋体" w:cs="宋体"/>
                <w:color w:val="auto"/>
                <w:sz w:val="21"/>
                <w:szCs w:val="21"/>
              </w:rPr>
              <w:t>，总体实现了顾客满意度的目标要求。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color w:val="000000"/>
                <w:sz w:val="21"/>
                <w:szCs w:val="21"/>
              </w:rPr>
            </w:pPr>
            <w:r>
              <w:rPr>
                <w:rFonts w:ascii="宋体" w:hAnsi="宋体" w:cs="宋体"/>
                <w:color w:val="000000"/>
                <w:sz w:val="21"/>
                <w:szCs w:val="21"/>
              </w:rPr>
              <w:t xml:space="preserve">3. </w:t>
            </w:r>
            <w:r>
              <w:rPr>
                <w:rFonts w:hint="eastAsia" w:ascii="宋体" w:hAnsi="宋体" w:cs="宋体"/>
                <w:color w:val="000000"/>
                <w:sz w:val="21"/>
                <w:szCs w:val="21"/>
              </w:rPr>
              <w:t>内审（包括内审策划审核方案中考虑拟审核的过程和区域的状况和重要性）</w:t>
            </w:r>
          </w:p>
          <w:p>
            <w:pPr>
              <w:spacing w:line="240" w:lineRule="exact"/>
              <w:rPr>
                <w:rFonts w:ascii="宋体" w:hAnsi="宋体" w:cs="宋体"/>
                <w:color w:val="000000"/>
                <w:sz w:val="21"/>
                <w:szCs w:val="21"/>
              </w:rPr>
            </w:pP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建立有《内部审核控制程序》，规定了内审频次一年</w:t>
            </w:r>
            <w:r>
              <w:rPr>
                <w:rFonts w:hint="eastAsia" w:ascii="宋体" w:hAnsi="宋体" w:cs="宋体"/>
                <w:color w:val="auto"/>
                <w:sz w:val="21"/>
                <w:szCs w:val="21"/>
              </w:rPr>
              <w:t>一次，内审时间：20</w:t>
            </w:r>
            <w:r>
              <w:rPr>
                <w:rFonts w:hint="eastAsia" w:ascii="宋体" w:hAnsi="宋体" w:cs="宋体"/>
                <w:color w:val="auto"/>
                <w:sz w:val="21"/>
                <w:szCs w:val="21"/>
                <w:lang w:val="en-US" w:eastAsia="zh-CN"/>
              </w:rPr>
              <w:t>20</w:t>
            </w:r>
            <w:r>
              <w:rPr>
                <w:rFonts w:hint="eastAsia" w:ascii="宋体" w:hAnsi="宋体" w:cs="宋体"/>
                <w:color w:val="auto"/>
                <w:sz w:val="21"/>
                <w:szCs w:val="21"/>
              </w:rPr>
              <w:t>年5月</w:t>
            </w:r>
            <w:r>
              <w:rPr>
                <w:rFonts w:hint="eastAsia" w:ascii="宋体" w:hAnsi="宋体" w:cs="宋体"/>
                <w:color w:val="auto"/>
                <w:sz w:val="21"/>
                <w:szCs w:val="21"/>
                <w:lang w:val="en-US" w:eastAsia="zh-CN"/>
              </w:rPr>
              <w:t>15</w:t>
            </w:r>
            <w:r>
              <w:rPr>
                <w:rFonts w:hint="eastAsia" w:ascii="宋体" w:hAnsi="宋体" w:cs="宋体"/>
                <w:color w:val="auto"/>
                <w:sz w:val="21"/>
                <w:szCs w:val="21"/>
              </w:rPr>
              <w:t>日，</w:t>
            </w:r>
            <w:r>
              <w:rPr>
                <w:rFonts w:hint="eastAsia" w:ascii="宋体" w:hAnsi="宋体" w:cs="宋体"/>
                <w:color w:val="000000"/>
                <w:sz w:val="21"/>
                <w:szCs w:val="21"/>
              </w:rPr>
              <w:t>拟定了审核实施表，明确了内审范围，内审人员经培训合格上岗，能力满足要求，未出现审核本部门情况，内审不符合项1项，涉及</w:t>
            </w:r>
            <w:r>
              <w:rPr>
                <w:rFonts w:hint="eastAsia" w:ascii="宋体" w:hAnsi="宋体" w:cs="宋体"/>
                <w:color w:val="000000"/>
                <w:sz w:val="21"/>
                <w:szCs w:val="21"/>
                <w:lang w:val="en-US" w:eastAsia="zh-CN"/>
              </w:rPr>
              <w:t>行政</w:t>
            </w:r>
            <w:r>
              <w:rPr>
                <w:rFonts w:hint="eastAsia" w:ascii="宋体" w:hAnsi="宋体" w:cs="宋体"/>
                <w:color w:val="000000"/>
                <w:sz w:val="21"/>
                <w:szCs w:val="21"/>
              </w:rPr>
              <w:t>部</w:t>
            </w:r>
            <w:r>
              <w:rPr>
                <w:rFonts w:hint="eastAsia" w:ascii="宋体" w:hAnsi="宋体" w:cs="宋体"/>
                <w:color w:val="000000"/>
                <w:sz w:val="21"/>
                <w:szCs w:val="21"/>
                <w:lang w:val="en-US" w:eastAsia="zh-CN"/>
              </w:rPr>
              <w:t>E</w:t>
            </w:r>
            <w:r>
              <w:rPr>
                <w:rFonts w:hint="eastAsia" w:ascii="宋体" w:hAnsi="宋体" w:cs="宋体"/>
                <w:color w:val="000000"/>
                <w:sz w:val="21"/>
                <w:szCs w:val="21"/>
              </w:rPr>
              <w:t>9.1.</w:t>
            </w:r>
            <w:r>
              <w:rPr>
                <w:rFonts w:hint="eastAsia" w:ascii="宋体" w:hAnsi="宋体" w:cs="宋体"/>
                <w:color w:val="000000"/>
                <w:sz w:val="21"/>
                <w:szCs w:val="21"/>
                <w:lang w:val="en-US" w:eastAsia="zh-CN"/>
              </w:rPr>
              <w:t>1/S4.5.1</w:t>
            </w:r>
            <w:r>
              <w:rPr>
                <w:rFonts w:hint="eastAsia" w:ascii="宋体" w:hAnsi="宋体" w:cs="宋体"/>
                <w:color w:val="000000"/>
                <w:sz w:val="21"/>
                <w:szCs w:val="21"/>
              </w:rPr>
              <w:t>条款</w:t>
            </w:r>
            <w:r>
              <w:rPr>
                <w:rFonts w:hint="eastAsia" w:ascii="宋体" w:hAnsi="宋体" w:cs="宋体"/>
                <w:color w:val="000000"/>
                <w:sz w:val="21"/>
                <w:szCs w:val="21"/>
                <w:lang w:val="en-US" w:eastAsia="zh-CN"/>
              </w:rPr>
              <w:t>未见环境、职业健康安全的检查记录</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管理评审（管理评审体系变更需求，纠正和预防措施、体系有效性等）</w:t>
            </w:r>
          </w:p>
          <w:p>
            <w:pPr>
              <w:spacing w:line="240" w:lineRule="exact"/>
              <w:rPr>
                <w:rFonts w:ascii="宋体" w:hAnsi="宋体" w:cs="宋体"/>
                <w:color w:val="000000"/>
                <w:sz w:val="21"/>
                <w:szCs w:val="21"/>
              </w:rPr>
            </w:pPr>
            <w:r>
              <w:rPr>
                <w:rFonts w:hint="eastAsia" w:ascii="宋体" w:hAnsi="宋体" w:cs="宋体"/>
                <w:color w:val="000000"/>
                <w:sz w:val="21"/>
                <w:szCs w:val="21"/>
              </w:rPr>
              <w:t xml:space="preserve">    管理评审</w:t>
            </w:r>
            <w:r>
              <w:rPr>
                <w:rFonts w:hint="eastAsia" w:ascii="宋体" w:hAnsi="宋体" w:cs="宋体"/>
                <w:color w:val="auto"/>
                <w:sz w:val="21"/>
                <w:szCs w:val="21"/>
              </w:rPr>
              <w:t>频次为一年一次、本次管理评审于20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5</w:t>
            </w:r>
            <w:r>
              <w:rPr>
                <w:rFonts w:hint="eastAsia" w:ascii="宋体" w:hAnsi="宋体" w:cs="宋体"/>
                <w:color w:val="auto"/>
                <w:sz w:val="21"/>
                <w:szCs w:val="21"/>
              </w:rPr>
              <w:t>月</w:t>
            </w:r>
            <w:r>
              <w:rPr>
                <w:rFonts w:hint="eastAsia" w:ascii="宋体" w:hAnsi="宋体" w:cs="宋体"/>
                <w:color w:val="auto"/>
                <w:sz w:val="21"/>
                <w:szCs w:val="21"/>
                <w:lang w:val="en-US" w:eastAsia="zh-CN"/>
              </w:rPr>
              <w:t>28</w:t>
            </w:r>
            <w:r>
              <w:rPr>
                <w:rFonts w:hint="eastAsia" w:ascii="宋体" w:hAnsi="宋体" w:cs="宋体"/>
                <w:color w:val="auto"/>
                <w:sz w:val="21"/>
                <w:szCs w:val="21"/>
              </w:rPr>
              <w:t>日由</w:t>
            </w:r>
            <w:r>
              <w:rPr>
                <w:rFonts w:hint="eastAsia" w:ascii="宋体" w:hAnsi="宋体" w:cs="宋体"/>
                <w:color w:val="000000"/>
                <w:sz w:val="21"/>
                <w:szCs w:val="21"/>
              </w:rPr>
              <w:t>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ind w:firstLine="200" w:firstLineChars="100"/>
              <w:rPr>
                <w:sz w:val="20"/>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b/>
                <w:sz w:val="20"/>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240" w:lineRule="exact"/>
              <w:rPr>
                <w:b/>
                <w:color w:val="000000" w:themeColor="text1"/>
                <w:sz w:val="20"/>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b/>
                <w:sz w:val="20"/>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b/>
                <w:sz w:val="20"/>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80" w:firstLineChars="200"/>
              <w:rPr>
                <w:rFonts w:ascii="宋体" w:hAnsi="宋体"/>
                <w:szCs w:val="21"/>
              </w:rPr>
            </w:pPr>
            <w:r>
              <w:rPr>
                <w:rFonts w:hint="eastAsia" w:ascii="宋体" w:hAnsi="宋体" w:cs="宋体"/>
                <w:color w:val="000000" w:themeColor="text1"/>
                <w:szCs w:val="24"/>
              </w:rPr>
              <w:t>公司明确通过对内、外审核结果、管理评审输出、监测和测量等活动中识别出</w:t>
            </w:r>
            <w:r>
              <w:rPr>
                <w:rFonts w:hint="eastAsia" w:ascii="宋体" w:hAnsi="宋体"/>
                <w:color w:val="000000" w:themeColor="text1"/>
                <w:szCs w:val="24"/>
              </w:rPr>
              <w:t>在产品/服务、过程、管理体系等方面</w:t>
            </w:r>
            <w:r>
              <w:rPr>
                <w:rFonts w:hint="eastAsia" w:ascii="宋体" w:hAnsi="宋体" w:cs="宋体"/>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ind w:firstLine="482" w:firstLineChars="200"/>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b/>
                <w:spacing w:val="-20"/>
                <w:szCs w:val="21"/>
              </w:rPr>
            </w:pPr>
            <w:r>
              <w:rPr>
                <w:rFonts w:hint="eastAsia"/>
                <w:b/>
                <w:spacing w:val="-20"/>
                <w:szCs w:val="21"/>
              </w:rPr>
              <w:t>无</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restart"/>
            <w:vAlign w:val="center"/>
          </w:tcPr>
          <w:p>
            <w:pPr>
              <w:spacing w:line="240" w:lineRule="exact"/>
              <w:jc w:val="center"/>
              <w:rPr>
                <w:b/>
                <w:sz w:val="20"/>
              </w:rPr>
            </w:pPr>
          </w:p>
        </w:tc>
        <w:tc>
          <w:tcPr>
            <w:tcW w:w="9198" w:type="dxa"/>
          </w:tcPr>
          <w:p>
            <w:pPr>
              <w:numPr>
                <w:ilvl w:val="0"/>
                <w:numId w:val="1"/>
              </w:numPr>
              <w:spacing w:line="240" w:lineRule="exact"/>
              <w:ind w:left="100" w:hanging="100" w:hangingChars="50"/>
              <w:rPr>
                <w:b/>
                <w:spacing w:val="-20"/>
                <w:szCs w:val="21"/>
              </w:rPr>
            </w:pPr>
            <w:r>
              <w:rPr>
                <w:rFonts w:hint="eastAsia"/>
                <w:b/>
                <w:spacing w:val="-20"/>
                <w:szCs w:val="21"/>
              </w:rPr>
              <w:t>创新情况</w:t>
            </w:r>
          </w:p>
          <w:p>
            <w:pPr>
              <w:spacing w:line="240" w:lineRule="exact"/>
              <w:ind w:left="-120" w:leftChars="-50"/>
              <w:rPr>
                <w:b/>
                <w:spacing w:val="-20"/>
                <w:szCs w:val="21"/>
              </w:rPr>
            </w:pPr>
            <w:r>
              <w:rPr>
                <w:rFonts w:hint="eastAsia"/>
                <w:b/>
                <w:spacing w:val="-20"/>
                <w:szCs w:val="21"/>
              </w:rPr>
              <w:t>无</w:t>
            </w:r>
          </w:p>
          <w:p>
            <w:pPr>
              <w:spacing w:line="240" w:lineRule="exact"/>
              <w:ind w:left="-120" w:leftChars="-50"/>
              <w:rPr>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
              </w:numPr>
              <w:spacing w:line="240" w:lineRule="exact"/>
              <w:ind w:left="120" w:hanging="120" w:hangingChars="50"/>
              <w:rPr>
                <w:b/>
                <w:szCs w:val="21"/>
              </w:rPr>
            </w:pPr>
            <w:r>
              <w:rPr>
                <w:rFonts w:hint="eastAsia"/>
                <w:b/>
                <w:szCs w:val="21"/>
              </w:rPr>
              <w:t>上次不符合的整改情况</w:t>
            </w:r>
          </w:p>
          <w:p>
            <w:pPr>
              <w:spacing w:line="240" w:lineRule="exact"/>
              <w:ind w:left="-120" w:leftChars="-50"/>
              <w:rPr>
                <w:b/>
                <w:szCs w:val="21"/>
              </w:rPr>
            </w:pPr>
            <w:r>
              <w:rPr>
                <w:rFonts w:hint="eastAsia"/>
                <w:b/>
                <w:color w:val="000000" w:themeColor="text1"/>
                <w:szCs w:val="21"/>
              </w:rPr>
              <w:t>上次不符合为Q8.4.1，经本次审核验证均整改且无类似不符合情况出现。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val="en-US" w:eastAsia="zh-CN"/>
        </w:rPr>
      </w:pPr>
      <w:r>
        <w:rPr>
          <w:rFonts w:hint="eastAsia" w:ascii="宋体" w:hAnsi="宋体"/>
          <w:b/>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37" w:firstLineChars="223"/>
        <w:rPr>
          <w:rFonts w:ascii="宋体"/>
          <w:b/>
          <w:szCs w:val="21"/>
        </w:rPr>
      </w:pPr>
      <w:r>
        <w:rPr>
          <w:rFonts w:hint="eastAsia" w:ascii="宋体" w:hAnsi="宋体"/>
          <w:b/>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auto"/>
          <w:szCs w:val="21"/>
        </w:rPr>
      </w:pPr>
      <w:r>
        <w:rPr>
          <w:rFonts w:hint="eastAsia" w:ascii="宋体" w:hAnsi="宋体"/>
          <w:b/>
          <w:color w:val="auto"/>
          <w:szCs w:val="21"/>
        </w:rPr>
        <w:t>本次审核共开具不符合项报告</w:t>
      </w:r>
      <w:r>
        <w:rPr>
          <w:rFonts w:hint="eastAsia" w:ascii="宋体" w:hAnsi="宋体"/>
          <w:b/>
          <w:color w:val="auto"/>
          <w:szCs w:val="21"/>
          <w:lang w:val="en-US" w:eastAsia="zh-CN"/>
        </w:rPr>
        <w:t>1</w:t>
      </w:r>
      <w:r>
        <w:rPr>
          <w:rFonts w:hint="eastAsia" w:ascii="宋体" w:hAnsi="宋体"/>
          <w:b/>
          <w:color w:val="auto"/>
          <w:szCs w:val="21"/>
        </w:rPr>
        <w:t>项；其中</w:t>
      </w:r>
      <w:r>
        <w:rPr>
          <w:rFonts w:ascii="宋体" w:hAnsi="宋体"/>
          <w:b/>
          <w:color w:val="auto"/>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auto"/>
          <w:szCs w:val="21"/>
        </w:rPr>
        <w:t>严重不符合</w:t>
      </w:r>
      <w:r>
        <w:rPr>
          <w:rFonts w:hint="eastAsia" w:ascii="宋体" w:hAnsi="宋体"/>
          <w:b/>
          <w:color w:val="auto"/>
          <w:szCs w:val="21"/>
          <w:lang w:val="en-US" w:eastAsia="zh-CN"/>
        </w:rPr>
        <w:t>0</w:t>
      </w:r>
      <w:r>
        <w:rPr>
          <w:rFonts w:hint="eastAsia" w:ascii="宋体" w:hAnsi="宋体"/>
          <w:b/>
          <w:color w:val="auto"/>
          <w:szCs w:val="21"/>
        </w:rPr>
        <w:t>项，一般不符合</w:t>
      </w:r>
      <w:r>
        <w:rPr>
          <w:rFonts w:hint="eastAsia" w:ascii="宋体" w:hAnsi="宋体"/>
          <w:b/>
          <w:color w:val="auto"/>
          <w:szCs w:val="21"/>
          <w:lang w:val="en-US" w:eastAsia="zh-CN"/>
        </w:rPr>
        <w:t>1</w:t>
      </w:r>
      <w:r>
        <w:rPr>
          <w:rFonts w:hint="eastAsia" w:ascii="宋体" w:hAnsi="宋体"/>
          <w:b/>
          <w:color w:val="auto"/>
          <w:szCs w:val="21"/>
        </w:rPr>
        <w:t>项，观察项</w:t>
      </w:r>
      <w:r>
        <w:rPr>
          <w:rFonts w:hint="eastAsia" w:ascii="宋体" w:hAnsi="宋体"/>
          <w:b/>
          <w:color w:val="auto"/>
          <w:szCs w:val="21"/>
          <w:lang w:val="en-US" w:eastAsia="zh-CN"/>
        </w:rPr>
        <w:t>0</w:t>
      </w:r>
      <w:r>
        <w:rPr>
          <w:rFonts w:hint="eastAsia" w:ascii="宋体" w:hAnsi="宋体"/>
          <w:b/>
          <w:color w:val="auto"/>
          <w:szCs w:val="21"/>
        </w:rPr>
        <w:t>项分布在</w:t>
      </w:r>
      <w:r>
        <w:rPr>
          <w:rFonts w:hint="eastAsia" w:ascii="宋体" w:hAnsi="宋体"/>
          <w:b/>
          <w:color w:val="auto"/>
          <w:szCs w:val="21"/>
          <w:lang w:val="en-US" w:eastAsia="zh-CN"/>
        </w:rPr>
        <w:t>行政</w:t>
      </w:r>
      <w:r>
        <w:rPr>
          <w:rFonts w:hint="eastAsia" w:ascii="宋体" w:hAnsi="宋体"/>
          <w:b/>
          <w:color w:val="auto"/>
          <w:szCs w:val="21"/>
        </w:rPr>
        <w:t>部门</w:t>
      </w:r>
      <w:r>
        <w:rPr>
          <w:rFonts w:hint="eastAsia" w:ascii="宋体" w:hAnsi="宋体"/>
          <w:b/>
          <w:bCs/>
          <w:color w:val="auto"/>
          <w:szCs w:val="21"/>
          <w:lang w:val="en-US" w:eastAsia="zh-CN"/>
        </w:rPr>
        <w:t>E9.1.2/S4.5.2</w:t>
      </w:r>
      <w:r>
        <w:rPr>
          <w:rFonts w:hint="eastAsia" w:ascii="宋体" w:hAnsi="宋体"/>
          <w:b/>
          <w:color w:val="auto"/>
          <w:szCs w:val="21"/>
        </w:rPr>
        <w:t>条款，见不符合项分布表。（</w:t>
      </w:r>
      <w:r>
        <w:rPr>
          <w:rFonts w:ascii="宋体" w:hAnsi="宋体"/>
          <w:b/>
          <w:color w:val="auto"/>
          <w:szCs w:val="21"/>
        </w:rPr>
        <w:t>Q/J/E/S</w:t>
      </w:r>
      <w:r>
        <w:rPr>
          <w:rFonts w:hint="eastAsia" w:ascii="宋体" w:hAnsi="宋体"/>
          <w:b/>
          <w:color w:val="auto"/>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十一、任何影响审核方案的重要事项：</w:t>
      </w:r>
    </w:p>
    <w:p>
      <w:pPr>
        <w:tabs>
          <w:tab w:val="left" w:pos="645"/>
        </w:tabs>
        <w:spacing w:after="163" w:afterLines="50" w:line="360" w:lineRule="exact"/>
        <w:rPr>
          <w:b/>
          <w:sz w:val="16"/>
          <w:szCs w:val="16"/>
        </w:rPr>
      </w:pPr>
      <w:bookmarkStart w:id="27" w:name="_GoBack"/>
      <w:bookmarkEnd w:id="27"/>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2020.9.18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lang w:eastAsia="zh-CN"/>
        </w:rPr>
        <w:t>□</w:t>
      </w:r>
      <w:r>
        <w:rPr>
          <w:rFonts w:hint="eastAsia"/>
          <w:b/>
          <w:bCs/>
          <w:sz w:val="21"/>
          <w:szCs w:val="21"/>
        </w:rPr>
        <w:t>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1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日期：</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99E1A5"/>
    <w:multiLevelType w:val="singleLevel"/>
    <w:tmpl w:val="ED99E1A5"/>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E348C6"/>
    <w:rsid w:val="139D5A1F"/>
    <w:rsid w:val="31000DBE"/>
    <w:rsid w:val="48E95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2020-09-18T09:27:46Z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