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76"/>
        <w:gridCol w:w="1261"/>
        <w:gridCol w:w="1387"/>
        <w:gridCol w:w="1386"/>
        <w:gridCol w:w="1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重庆耐斯布艺有限公司</w:t>
            </w:r>
            <w:bookmarkEnd w:id="4"/>
          </w:p>
        </w:tc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8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rPr>
                <w:b/>
                <w:color w:val="000000" w:themeColor="text1"/>
                <w:sz w:val="20"/>
              </w:rPr>
            </w:pPr>
            <w:bookmarkStart w:id="5" w:name="专业代码"/>
            <w:r>
              <w:rPr>
                <w:b/>
                <w:color w:val="000000" w:themeColor="text1"/>
                <w:sz w:val="20"/>
              </w:rPr>
              <w:t>Q：04.04.02;</w:t>
            </w:r>
          </w:p>
          <w:p>
            <w:pPr>
              <w:snapToGrid w:val="0"/>
              <w:spacing w:line="280" w:lineRule="exact"/>
              <w:ind w:left="5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14.02.03;29.12.00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卢静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Q:04.04.02</w:t>
            </w:r>
          </w:p>
          <w:p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83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文平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Q:14.02.03,29.12.00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8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文平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杨珍全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冉景洲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余家龙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宋明珠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Q:14.02.03,29.12.00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无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ind w:left="52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无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无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sz w:val="20"/>
              </w:rPr>
              <w:t>Q:29.12.00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遮阳产品流程：合同签订——设计——下料——缝纫——装配——检验——入库</w:t>
            </w:r>
          </w:p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销售流程：</w:t>
            </w:r>
            <w:r>
              <w:rPr>
                <w:rFonts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客户需求----签订合同---进行采购----产品检验----交付客户---验收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主要质量要求：尺寸、外观质量 ，关键控制点：销售过程控制。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重要环境因素：火灾和固废；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重大危险源：火灾和意外伤害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硅藻土百叶窗帘和百叶窗用叶片DB22/T 2227-2014、窗帘用经编面料FZ/T 72019-2013、国家纺织产品基本安全技术规范GB18401-2010 等 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GB/T 31962-2015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）、大气污染物综合排放标准（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 16297-1996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等。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尺寸、材质、规格、数量。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2020.9.18  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2020.9.18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6923"/>
    <w:rsid w:val="0077563D"/>
    <w:rsid w:val="00876923"/>
    <w:rsid w:val="00DE6C6A"/>
    <w:rsid w:val="2CAC0C07"/>
    <w:rsid w:val="3D7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</Words>
  <Characters>729</Characters>
  <Lines>6</Lines>
  <Paragraphs>1</Paragraphs>
  <TotalTime>2</TotalTime>
  <ScaleCrop>false</ScaleCrop>
  <LinksUpToDate>false</LinksUpToDate>
  <CharactersWithSpaces>855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2020-09-18T06:18:13Z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