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0032-2019-2020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陕西石竹能源科技有限公司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2020.9.16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0032-2019-2020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陕西石竹能源科技有限公司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bookmarkStart w:id="2" w:name="_GoBack"/>
            <w:bookmarkEnd w:id="2"/>
            <w:r>
              <w:rPr>
                <w:rFonts w:hint="eastAsia" w:ascii="宋体" w:hAnsi="宋体"/>
                <w:szCs w:val="21"/>
                <w:lang w:val="en-US" w:eastAsia="zh-CN"/>
              </w:rPr>
              <w:t>2020.9.17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13709207775、15389253253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59264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F3201B"/>
    <w:rsid w:val="7D0063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99</Words>
  <Characters>565</Characters>
  <Lines>4</Lines>
  <Paragraphs>1</Paragraphs>
  <TotalTime>1</TotalTime>
  <ScaleCrop>false</ScaleCrop>
  <LinksUpToDate>false</LinksUpToDate>
  <CharactersWithSpaces>663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LIL</cp:lastModifiedBy>
  <dcterms:modified xsi:type="dcterms:W3CDTF">2020-09-16T02:37:34Z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