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99"/>
        <w:gridCol w:w="1260"/>
        <w:gridCol w:w="567"/>
        <w:gridCol w:w="873"/>
        <w:gridCol w:w="238"/>
        <w:gridCol w:w="442"/>
        <w:gridCol w:w="290"/>
        <w:gridCol w:w="518"/>
        <w:gridCol w:w="1561"/>
        <w:gridCol w:w="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重庆天合首创建材有限公司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9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0412-2020-QEO</w:t>
            </w:r>
            <w:bookmarkEnd w:id="1"/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9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周永乐</w:t>
            </w:r>
            <w:bookmarkEnd w:id="5"/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18680837711</w:t>
            </w:r>
            <w:bookmarkEnd w:id="6"/>
          </w:p>
        </w:tc>
        <w:tc>
          <w:tcPr>
            <w:tcW w:w="97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92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周永乐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70" w:type="dxa"/>
            <w:gridSpan w:val="3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930" w:type="dxa"/>
            <w:gridSpan w:val="9"/>
            <w:vAlign w:val="center"/>
          </w:tcPr>
          <w:p>
            <w:bookmarkStart w:id="10" w:name="审核范围"/>
            <w:r>
              <w:t>Q：水泥发泡保温板及砂浆的生产</w:t>
            </w:r>
          </w:p>
          <w:p>
            <w:r>
              <w:t>E：水泥发泡保温板及砂浆的生产所涉及的相关环境管理活动</w:t>
            </w:r>
          </w:p>
          <w:p>
            <w:r>
              <w:t>O：水泥发泡保温板及砂浆的生产所涉及的相关职业健康安全管理活动</w:t>
            </w:r>
            <w:bookmarkEnd w:id="10"/>
          </w:p>
        </w:tc>
        <w:tc>
          <w:tcPr>
            <w:tcW w:w="442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413" w:type="dxa"/>
            <w:gridSpan w:val="4"/>
            <w:vAlign w:val="center"/>
          </w:tcPr>
          <w:p>
            <w:bookmarkStart w:id="11" w:name="专业代码"/>
            <w:r>
              <w:t>Q：16.02.01;16.02.04</w:t>
            </w:r>
          </w:p>
          <w:p>
            <w:r>
              <w:t>E：16.02.01;16.02.04</w:t>
            </w:r>
          </w:p>
          <w:p>
            <w:r>
              <w:t>O：16.02.01;16.02.04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2020年09月12日 下午至2020年09月13日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刘成渝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Q:16.02.01,16.02.04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E:16.02.01,16.02.04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O:16.02.01,16.02.04</w:t>
            </w: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18580742315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811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11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2020年9月1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2020年9月1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spacing w:line="360" w:lineRule="auto"/>
            </w:pPr>
            <w:bookmarkStart w:id="14" w:name="_GoBack"/>
            <w:bookmarkEnd w:id="14"/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56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0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9月12日下午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至13日上午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9月12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56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0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杨珍全、冉景洲、余家龙、宋明珠、</w:t>
            </w:r>
            <w:r>
              <w:rPr>
                <w:sz w:val="21"/>
                <w:szCs w:val="21"/>
              </w:rPr>
              <w:t>刘成渝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9月12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560" w:type="dxa"/>
            <w:noWrap w:val="0"/>
            <w:vAlign w:val="center"/>
          </w:tcPr>
          <w:p>
            <w:r>
              <w:rPr>
                <w:rFonts w:hint="eastAsia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r>
              <w:rPr>
                <w:rFonts w:hint="eastAsia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3.评价所建立的管理体系文件与审核准则和认证要求的符合性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4.了解、收集、确认和核实受审核方相关信息以及相关法律法规的执行情况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（重点是法律位证明文件、经营许可资质/资格、强制性标准执行情况）；</w:t>
            </w:r>
          </w:p>
          <w:p>
            <w:r>
              <w:rPr>
                <w:rFonts w:hint="eastAsia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6.确认方针、目标的制定与实施状况；</w:t>
            </w:r>
          </w:p>
          <w:p>
            <w:pPr>
              <w:pStyle w:val="2"/>
            </w:pPr>
            <w:r>
              <w:rPr>
                <w:rFonts w:hint="eastAsia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30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杨珍全、冉景洲、余家龙、宋明珠、</w:t>
            </w:r>
            <w:r>
              <w:rPr>
                <w:sz w:val="21"/>
                <w:szCs w:val="21"/>
              </w:rPr>
              <w:t>刘成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9月1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3日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560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30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杨珍全、冉景洲、余家龙、宋明珠、</w:t>
            </w:r>
            <w:r>
              <w:rPr>
                <w:sz w:val="21"/>
                <w:szCs w:val="21"/>
              </w:rPr>
              <w:t>刘成渝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9月1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6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0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杨珍全、冉景洲、余家龙、宋明珠、</w:t>
            </w:r>
            <w:r>
              <w:rPr>
                <w:sz w:val="21"/>
                <w:szCs w:val="21"/>
              </w:rPr>
              <w:t>刘成渝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C15556"/>
    <w:rsid w:val="37FA7E02"/>
    <w:rsid w:val="725B030D"/>
    <w:rsid w:val="7ED02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2020-09-19T12:30:14Z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