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u w:val="none"/>
        </w:rPr>
      </w:pPr>
      <w:r>
        <w:rPr>
          <w:rFonts w:hint="eastAsia" w:ascii="宋体" w:hAnsi="宋体"/>
          <w:b/>
          <w:bCs/>
          <w:kern w:val="0"/>
          <w:szCs w:val="21"/>
          <w:u w:val="none"/>
          <w:lang w:val="en-US" w:eastAsia="zh-CN"/>
        </w:rPr>
        <w:t>编号：</w:t>
      </w:r>
      <w:r>
        <w:rPr>
          <w:rFonts w:hint="eastAsia" w:ascii="宋体" w:hAnsi="宋体"/>
          <w:b/>
          <w:bCs/>
          <w:kern w:val="0"/>
          <w:szCs w:val="21"/>
          <w:u w:val="none"/>
        </w:rPr>
        <w:t xml:space="preserve"> </w:t>
      </w:r>
      <w:bookmarkStart w:id="0" w:name="合同编号"/>
      <w:r>
        <w:rPr>
          <w:rFonts w:hint="eastAsia" w:ascii="宋体" w:hAnsi="宋体"/>
          <w:b/>
          <w:bCs/>
          <w:kern w:val="0"/>
          <w:szCs w:val="21"/>
          <w:u w:val="none"/>
        </w:rPr>
        <w:t>0061-2018-QEO-2020</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重庆龙杭实业有限公司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2020-N0QMS-1262293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重庆龙杭实业有限公司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重庆市渝北区龙山街道龙山大道22号、24号、26号御景豪庭裙房幢1-20</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500112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b/>
                <w:sz w:val="21"/>
              </w:rPr>
              <w:t>重庆市</w:t>
            </w:r>
            <w:r>
              <w:rPr>
                <w:rFonts w:hint="eastAsia" w:ascii="宋体"/>
                <w:b/>
                <w:sz w:val="21"/>
                <w:lang w:val="en-US" w:eastAsia="zh-CN"/>
              </w:rPr>
              <w:t>渝中区华一路55号</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500112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hint="default" w:ascii="宋体" w:eastAsia="宋体"/>
                <w:b/>
                <w:sz w:val="21"/>
                <w:lang w:val="en-US" w:eastAsia="zh-CN"/>
              </w:rPr>
            </w:pPr>
            <w:bookmarkStart w:id="15" w:name="生产地址Add"/>
            <w:r>
              <w:rPr>
                <w:rFonts w:ascii="宋体"/>
                <w:b/>
                <w:sz w:val="21"/>
              </w:rPr>
              <w:t>重庆市</w:t>
            </w:r>
            <w:bookmarkEnd w:id="15"/>
            <w:r>
              <w:rPr>
                <w:rFonts w:hint="eastAsia" w:ascii="宋体"/>
                <w:b/>
                <w:sz w:val="21"/>
                <w:lang w:val="en-US" w:eastAsia="zh-CN"/>
              </w:rPr>
              <w:t>渝中区华一路55号</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500112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杨伟国</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13608393733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熊家丽</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杨伟国</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熊家丽</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2020年09月17日 上午至2020年09月18日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sz w:val="18"/>
                <w:szCs w:val="18"/>
              </w:rPr>
              <w:t>服装、遮阳产品（布艺窗帘、百叶、卷帘、柔纱帘）、地毯、工艺品、床上用品的销售及售后服务</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ascii="宋体" w:hAnsi="宋体"/>
                <w:sz w:val="18"/>
                <w:szCs w:val="18"/>
              </w:rPr>
              <w:t>服装、遮阳产品（布艺窗帘、百叶、卷帘、柔纱帘）、地毯、工艺品、床上用品的销售及售后服务及相关环境管理活动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sz w:val="18"/>
                <w:szCs w:val="18"/>
              </w:rPr>
              <w:t>服装、遮阳产品（布艺窗帘、百叶、卷帘、柔纱帘）、地毯、工艺品、床上用品的销售及售后服务及相关职业健康安全管理活动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b/>
                <w:sz w:val="21"/>
                <w:szCs w:val="21"/>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2"/>
              </w:rPr>
              <w:t>2021-07-</w:t>
            </w:r>
            <w:r>
              <w:rPr>
                <w:rFonts w:hint="eastAsia" w:ascii="宋体" w:hAnsi="宋体"/>
                <w:b/>
                <w:sz w:val="21"/>
                <w:szCs w:val="22"/>
                <w:lang w:val="en-US" w:eastAsia="zh-CN"/>
              </w:rPr>
              <w:t>08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2019-07-17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tbl>
      <w:tblPr>
        <w:tblStyle w:val="9"/>
        <w:tblW w:w="100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2130" w:type="dxa"/>
          </w:tcPr>
          <w:p>
            <w:pPr>
              <w:rPr>
                <w:b/>
                <w:color w:val="000000" w:themeColor="text1"/>
                <w:sz w:val="20"/>
                <w:szCs w:val="20"/>
              </w:rPr>
            </w:pPr>
            <w:r>
              <w:rPr>
                <w:rFonts w:hint="eastAsia" w:ascii="宋体" w:hAnsi="宋体"/>
                <w:sz w:val="18"/>
                <w:szCs w:val="18"/>
              </w:rPr>
              <w:t>服装、遮阳产品（布艺窗帘、百叶、卷帘、柔纱帘）、地毯、工艺品、床上用品的销售及售后服务</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vAlign w:val="top"/>
          </w:tcPr>
          <w:p>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spacing w:before="0" w:after="0"/>
              <w:ind w:left="0" w:firstLine="0"/>
              <w:jc w:val="both"/>
              <w:textAlignment w:val="baseline"/>
              <w:rPr>
                <w:b/>
                <w:color w:val="000000" w:themeColor="text1"/>
                <w:sz w:val="20"/>
                <w:szCs w:val="20"/>
              </w:rPr>
            </w:pPr>
            <w:r>
              <w:rPr>
                <w:rFonts w:hint="eastAsia"/>
                <w:b w:val="0"/>
                <w:bCs w:val="0"/>
                <w:color w:val="000000" w:themeColor="text1"/>
                <w:sz w:val="20"/>
                <w:szCs w:val="20"/>
              </w:rPr>
              <w:t xml:space="preserve">硅藻土百叶窗帘和百叶窗用叶片DB22/T 2227-2014、窗帘用经编面料FZ/T 72019-2013、国家纺织产品基本安全技术规范GB18401-2010 等 </w:t>
            </w:r>
            <w:r>
              <w:rPr>
                <w:rFonts w:hint="eastAsia"/>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before="163" w:beforeLines="50"/>
        <w:ind w:left="-194" w:leftChars="-81" w:firstLine="211" w:firstLineChars="100"/>
        <w:rPr>
          <w:rFonts w:hint="eastAsia" w:ascii="宋体" w:hAnsi="宋体"/>
          <w:b/>
          <w:sz w:val="21"/>
          <w:szCs w:val="21"/>
        </w:rPr>
      </w:pP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rFonts w:ascii="宋体" w:hAnsi="宋体"/>
                <w:b/>
                <w:sz w:val="21"/>
                <w:szCs w:val="21"/>
              </w:rPr>
            </w:pPr>
            <w:r>
              <w:rPr>
                <w:rFonts w:hint="eastAsia" w:ascii="宋体" w:hAnsi="宋体" w:cs="宋体"/>
                <w:bCs/>
                <w:color w:val="4E4E4E"/>
                <w:kern w:val="36"/>
                <w:sz w:val="21"/>
                <w:szCs w:val="21"/>
              </w:rPr>
              <w:t>重庆龙杭实业有限公司</w:t>
            </w:r>
            <w:r>
              <w:rPr>
                <w:rFonts w:hint="eastAsia" w:ascii="宋体" w:hAnsi="宋体"/>
                <w:sz w:val="21"/>
                <w:szCs w:val="21"/>
              </w:rPr>
              <w:t>是一家专业事服装、窗帘、床上用品销售的企业。产品主要销售到学校、事业单位和政府部门。现有员工数10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rFonts w:ascii="宋体" w:hAnsi="宋体"/>
                <w:b/>
                <w:sz w:val="21"/>
                <w:szCs w:val="21"/>
              </w:rPr>
            </w:pPr>
            <w:r>
              <w:rPr>
                <w:rFonts w:hint="eastAsia" w:ascii="宋体" w:hAnsi="宋体" w:eastAsia="宋体" w:cs="Times New Roman"/>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hint="eastAsia"/>
              </w:rPr>
            </w:pP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r>
              <w:rPr>
                <w:rFonts w:hint="eastAsia" w:ascii="宋体" w:hAnsi="宋体" w:cs="宋体"/>
                <w:color w:val="000000"/>
                <w:sz w:val="20"/>
                <w:szCs w:val="20"/>
                <w:lang w:val="en-US" w:eastAsia="zh-CN"/>
              </w:rPr>
              <w:t>质量、环境和职业健康安全管理方针：</w:t>
            </w:r>
            <w:r>
              <w:rPr>
                <w:rFonts w:hint="eastAsia" w:ascii="宋体" w:hAnsi="宋体" w:cs="宋体"/>
                <w:color w:val="000000"/>
                <w:sz w:val="20"/>
                <w:szCs w:val="20"/>
              </w:rPr>
              <w:t>“</w:t>
            </w:r>
            <w:r>
              <w:rPr>
                <w:rFonts w:ascii="宋体" w:hAnsi="宋体" w:cs="宋体"/>
                <w:kern w:val="0"/>
                <w:sz w:val="20"/>
                <w:szCs w:val="20"/>
              </w:rPr>
              <w:t>保证质量  快速安装  以客为尊，顾客满意</w:t>
            </w:r>
            <w:r>
              <w:rPr>
                <w:rFonts w:hint="eastAsia" w:ascii="宋体" w:hAnsi="宋体" w:cs="宋体"/>
                <w:kern w:val="0"/>
                <w:sz w:val="20"/>
                <w:szCs w:val="20"/>
              </w:rPr>
              <w:t xml:space="preserve">  </w:t>
            </w:r>
            <w:r>
              <w:rPr>
                <w:rFonts w:ascii="宋体" w:hAnsi="宋体" w:cs="宋体"/>
                <w:kern w:val="0"/>
                <w:sz w:val="20"/>
                <w:szCs w:val="20"/>
              </w:rPr>
              <w:t>节能降耗，保护环境，以人为本，安全第一</w:t>
            </w:r>
            <w:r>
              <w:rPr>
                <w:rFonts w:hint="eastAsia" w:ascii="宋体" w:hAnsi="宋体" w:cs="宋体"/>
                <w:kern w:val="0"/>
                <w:sz w:val="20"/>
                <w:szCs w:val="20"/>
              </w:rPr>
              <w:t xml:space="preserve">  </w:t>
            </w:r>
            <w:r>
              <w:rPr>
                <w:rFonts w:ascii="宋体" w:hAnsi="宋体" w:cs="宋体"/>
                <w:kern w:val="0"/>
                <w:sz w:val="20"/>
                <w:szCs w:val="20"/>
              </w:rPr>
              <w:t>预防为主，综合治理，规范管理，持续改进。</w:t>
            </w: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b/>
                <w:color w:val="000000"/>
              </w:rPr>
            </w:pPr>
            <w:r>
              <w:rPr>
                <w:rFonts w:hint="eastAsia"/>
                <w:b/>
                <w:color w:val="000000"/>
              </w:rPr>
              <w:t>4.风险识别与控制策划：</w:t>
            </w:r>
          </w:p>
          <w:p>
            <w:pPr>
              <w:spacing w:line="280" w:lineRule="exact"/>
              <w:ind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widowControl/>
              <w:rPr>
                <w:rFonts w:hint="eastAsia" w:ascii="楷体_GB2312" w:eastAsia="楷体_GB2312"/>
                <w:b/>
                <w:color w:val="000000"/>
                <w:szCs w:val="24"/>
                <w:lang w:eastAsia="zh-CN"/>
              </w:rPr>
            </w:pPr>
            <w:r>
              <w:rPr>
                <w:rFonts w:ascii="楷体_GB2312" w:eastAsia="楷体_GB2312"/>
                <w:b/>
                <w:color w:val="000000"/>
                <w:szCs w:val="24"/>
              </w:rPr>
              <w:t>客户需求----签订合同---进行采购----产品检验----交付客户---验收</w:t>
            </w:r>
            <w:r>
              <w:rPr>
                <w:rFonts w:hint="eastAsia" w:ascii="楷体_GB2312" w:eastAsia="楷体_GB2312"/>
                <w:b/>
                <w:color w:val="000000"/>
                <w:szCs w:val="24"/>
                <w:lang w:eastAsia="zh-CN"/>
              </w:rPr>
              <w:t>。</w:t>
            </w:r>
          </w:p>
          <w:p>
            <w:pPr>
              <w:tabs>
                <w:tab w:val="left" w:pos="540"/>
              </w:tabs>
              <w:spacing w:line="300" w:lineRule="exact"/>
              <w:ind w:left="241" w:hanging="241" w:hangingChars="100"/>
              <w:rPr>
                <w:rFonts w:hint="eastAsia" w:ascii="宋体" w:hAnsi="宋体" w:cs="宋体"/>
                <w:color w:val="000000"/>
                <w:sz w:val="21"/>
                <w:szCs w:val="21"/>
                <w:u w:val="single"/>
                <w:lang w:val="en-US" w:eastAsia="zh-CN"/>
              </w:rPr>
            </w:pPr>
            <w:r>
              <w:rPr>
                <w:rFonts w:hint="eastAsia" w:ascii="宋体" w:hAnsi="宋体"/>
                <w:b/>
                <w:szCs w:val="21"/>
              </w:rPr>
              <w:t>其中关键过程有</w:t>
            </w:r>
            <w:r>
              <w:rPr>
                <w:rFonts w:ascii="宋体" w:hAnsi="宋体"/>
                <w:b/>
                <w:szCs w:val="21"/>
                <w:u w:val="single"/>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销售</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rPr>
              <w:t>销售</w:t>
            </w:r>
            <w:r>
              <w:rPr>
                <w:rFonts w:ascii="宋体" w:hAnsi="宋体"/>
                <w:b/>
                <w:szCs w:val="21"/>
                <w:u w:val="single"/>
              </w:rPr>
              <w:t xml:space="preserve">    </w:t>
            </w:r>
            <w:r>
              <w:rPr>
                <w:rFonts w:ascii="宋体" w:hAnsi="宋体"/>
                <w:b/>
                <w:szCs w:val="21"/>
              </w:rPr>
              <w:t xml:space="preserve"> </w:t>
            </w:r>
          </w:p>
          <w:p>
            <w:pPr>
              <w:tabs>
                <w:tab w:val="left" w:pos="540"/>
              </w:tabs>
              <w:spacing w:line="300" w:lineRule="exact"/>
              <w:ind w:left="240" w:leftChars="0" w:hanging="240" w:hangingChars="100"/>
              <w:rPr>
                <w:rFonts w:ascii="宋体" w:hAnsi="宋体"/>
                <w:b/>
                <w:sz w:val="21"/>
                <w:szCs w:val="21"/>
              </w:rPr>
            </w:pPr>
            <w:r>
              <w:pict>
                <v:shape id="_x0000_s2053" o:spid="_x0000_s2053" o:spt="32" type="#_x0000_t32" style="position:absolute;left:0pt;margin-left:157.9pt;margin-top:12.75pt;height:0pt;width:261.75pt;z-index:5120;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5120;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8.3</w:t>
            </w:r>
            <w:r>
              <w:rPr>
                <w:rFonts w:ascii="宋体" w:hAnsi="宋体"/>
                <w:b/>
                <w:szCs w:val="21"/>
              </w:rPr>
              <w:t xml:space="preserve">      </w:t>
            </w:r>
            <w:r>
              <w:rPr>
                <w:rFonts w:hint="eastAsia" w:ascii="宋体" w:hAnsi="宋体"/>
                <w:b/>
                <w:szCs w:val="21"/>
              </w:rPr>
              <w:t>，删减理由：</w:t>
            </w:r>
            <w:r>
              <w:rPr>
                <w:rFonts w:hint="eastAsia" w:ascii="宋体" w:hAnsi="宋体" w:cs="宋体"/>
                <w:sz w:val="21"/>
                <w:szCs w:val="21"/>
              </w:rPr>
              <w:t>公司产品均按国家相关标准以及顾客要求进行，销售模式固定，不涉及设计，不适用，理由合理。</w:t>
            </w:r>
            <w:r>
              <w:rPr>
                <w:rFonts w:ascii="宋体" w:hAns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Times New Roman" w:hAnsi="Times New Roman" w:eastAsia="宋体" w:cs="Times New Roman"/>
                <w:b/>
                <w:kern w:val="2"/>
                <w:sz w:val="24"/>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eastAsia="宋体" w:cs="Times New Roman"/>
                <w:b/>
                <w:color w:val="000000"/>
                <w:spacing w:val="-8"/>
                <w:kern w:val="2"/>
                <w:sz w:val="20"/>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w:t>
            </w:r>
            <w:r>
              <w:rPr>
                <w:rFonts w:hint="eastAsia" w:ascii="宋体" w:hAnsi="宋体"/>
                <w:b/>
                <w:szCs w:val="21"/>
                <w:lang w:eastAsia="zh-CN"/>
              </w:rPr>
              <w:t>■</w:t>
            </w:r>
            <w:r>
              <w:rPr>
                <w:rFonts w:hint="eastAsia" w:ascii="宋体" w:hAnsi="宋体"/>
                <w:b/>
                <w:szCs w:val="21"/>
              </w:rPr>
              <w:t>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bookmarkStart w:id="27" w:name="_GoBack"/>
            <w:bookmarkEnd w:id="27"/>
            <w:r>
              <w:rPr>
                <w:rFonts w:hint="eastAsia" w:ascii="宋体" w:hAnsi="宋体"/>
                <w:b/>
                <w:szCs w:val="21"/>
              </w:rPr>
              <w:t>确定</w:t>
            </w:r>
            <w:r>
              <w:rPr>
                <w:rFonts w:ascii="宋体" w:hAnsi="宋体"/>
                <w:b/>
                <w:szCs w:val="21"/>
              </w:rPr>
              <w:t xml:space="preserve"> </w:t>
            </w:r>
            <w:r>
              <w:rPr>
                <w:rFonts w:hint="eastAsia" w:ascii="宋体" w:hAnsi="宋体"/>
                <w:b/>
                <w:szCs w:val="21"/>
              </w:rPr>
              <w:t>□未确定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5"/>
              <w:tabs>
                <w:tab w:val="left" w:pos="540"/>
              </w:tabs>
              <w:spacing w:line="300" w:lineRule="exact"/>
              <w:ind w:firstLine="0" w:firstLineChars="0"/>
              <w:rPr>
                <w:rFonts w:ascii="Times New Roman" w:hAnsi="Times New Roman" w:eastAsia="宋体" w:cs="Times New Roman"/>
                <w:b/>
                <w:kern w:val="2"/>
                <w:sz w:val="14"/>
                <w:szCs w:val="14"/>
                <w:lang w:val="en-US" w:eastAsia="zh-CN" w:bidi="ar-SA"/>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hAnsi="Times New Roman" w:eastAsia="宋体" w:cs="Times New Roman"/>
                <w:b/>
                <w:kern w:val="2"/>
                <w:sz w:val="24"/>
                <w:lang w:val="en-US" w:eastAsia="zh-CN" w:bidi="ar-SA"/>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4"/>
              <w:tabs>
                <w:tab w:val="left" w:pos="902"/>
                <w:tab w:val="clear" w:pos="1069"/>
              </w:tabs>
              <w:spacing w:line="360" w:lineRule="auto"/>
              <w:ind w:left="0" w:leftChars="0" w:right="1" w:rightChars="0"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Times New Roman" w:eastAsia="宋体" w:cs="Times New Roman"/>
                <w:b/>
                <w:color w:val="000000"/>
                <w:kern w:val="2"/>
                <w:sz w:val="20"/>
                <w:lang w:val="en-US" w:eastAsia="zh-CN" w:bidi="ar-SA"/>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hAnsi="Times New Roman" w:eastAsia="宋体" w:cs="Times New Roman"/>
                <w:b/>
                <w:color w:val="000000"/>
                <w:kern w:val="2"/>
                <w:sz w:val="20"/>
                <w:lang w:val="en-US" w:eastAsia="zh-CN" w:bidi="ar-SA"/>
              </w:rPr>
            </w:pPr>
            <w:r>
              <w:rPr>
                <w:rFonts w:hint="eastAsia" w:ascii="宋体"/>
                <w:b/>
                <w:color w:val="000000"/>
                <w:sz w:val="20"/>
              </w:rPr>
              <w:t xml:space="preserve">    </w:t>
            </w:r>
            <w:r>
              <w:rPr>
                <w:rFonts w:hint="eastAsia" w:ascii="宋体" w:hAnsi="宋体" w:cs="宋体"/>
                <w:color w:val="000000"/>
                <w:sz w:val="21"/>
                <w:szCs w:val="21"/>
              </w:rPr>
              <w:t>办公场所面积100平方米左右.</w:t>
            </w:r>
            <w:r>
              <w:rPr>
                <w:rFonts w:hint="eastAsia" w:ascii="宋体" w:hAnsi="宋体" w:cs="宋体"/>
                <w:sz w:val="21"/>
                <w:szCs w:val="21"/>
              </w:rPr>
              <w:t>主要办公设备</w:t>
            </w:r>
            <w:r>
              <w:rPr>
                <w:rFonts w:hint="eastAsia" w:ascii="宋体" w:hAnsi="宋体" w:cs="宋体"/>
                <w:color w:val="000000"/>
                <w:sz w:val="21"/>
                <w:szCs w:val="21"/>
              </w:rPr>
              <w:t>，可以</w:t>
            </w:r>
            <w:r>
              <w:rPr>
                <w:rFonts w:hint="eastAsia" w:ascii="宋体" w:hAnsi="宋体" w:cs="宋体"/>
                <w:sz w:val="21"/>
                <w:szCs w:val="21"/>
              </w:rPr>
              <w:t>满足销售需要。行政部对设备进行了维护保养，并实施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。产品运输交由物流公司进行，公司未建立信息管理系统用于销售服务。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Times New Roman" w:eastAsia="宋体" w:cs="Times New Roman"/>
                <w:b/>
                <w:color w:val="000000"/>
                <w:kern w:val="2"/>
                <w:sz w:val="20"/>
                <w:lang w:val="en-US" w:eastAsia="zh-CN" w:bidi="ar-SA"/>
              </w:rPr>
            </w:pPr>
            <w:r>
              <w:rPr>
                <w:rFonts w:hint="eastAsia" w:ascii="宋体" w:hAnsi="宋体" w:cs="宋体"/>
                <w:sz w:val="21"/>
                <w:szCs w:val="21"/>
              </w:rPr>
              <w:t>办公室内设备布置合理，通道畅通，照明设施齐全，均配备了消防设施等设施，能满足销售服务。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ind w:firstLine="315" w:firstLineChars="150"/>
              <w:rPr>
                <w:rFonts w:ascii="宋体" w:hAnsi="宋体" w:eastAsia="宋体" w:cs="Times New Roman"/>
                <w:b/>
                <w:color w:val="000000"/>
                <w:kern w:val="2"/>
                <w:sz w:val="20"/>
                <w:lang w:val="en-US" w:eastAsia="zh-CN" w:bidi="ar-SA"/>
              </w:rPr>
            </w:pPr>
            <w:r>
              <w:rPr>
                <w:rFonts w:hint="eastAsia" w:ascii="宋体" w:hAnsi="宋体" w:cs="宋体"/>
                <w:color w:val="000000"/>
                <w:sz w:val="21"/>
                <w:szCs w:val="21"/>
              </w:rPr>
              <w:t>检验部门只针对外观、颜色、规格进行验证，暂未配置检测设备，产品质量由供方进行控制，并出具检测报告。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Times New Roman" w:eastAsia="宋体" w:cs="Times New Roman"/>
                <w:b/>
                <w:color w:val="000000"/>
                <w:kern w:val="2"/>
                <w:sz w:val="20"/>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Times New Roman" w:eastAsia="宋体" w:cs="Times New Roman"/>
                <w:b/>
                <w:color w:val="000000"/>
                <w:kern w:val="2"/>
                <w:sz w:val="20"/>
                <w:lang w:val="en-US" w:eastAsia="zh-CN" w:bidi="ar-SA"/>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Times New Roman" w:eastAsia="宋体" w:cs="Times New Roman"/>
                <w:b/>
                <w:color w:val="000000"/>
                <w:kern w:val="2"/>
                <w:sz w:val="20"/>
                <w:lang w:val="en-US" w:eastAsia="zh-CN" w:bidi="ar-SA"/>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kern w:val="2"/>
                <w:sz w:val="24"/>
                <w:szCs w:val="21"/>
                <w:lang w:val="en-US" w:eastAsia="zh-CN" w:bidi="ar-SA"/>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hAnsi="Times New Roman" w:eastAsia="楷体_GB2312" w:cs="Times New Roman"/>
                <w:b/>
                <w:kern w:val="2"/>
                <w:sz w:val="24"/>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Times New Roman" w:hAnsi="Times New Roman" w:eastAsia="宋体" w:cs="Times New Roman"/>
                <w:b/>
                <w:kern w:val="2"/>
                <w:sz w:val="24"/>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Times New Roman" w:hAnsi="Times New Roman" w:eastAsia="宋体" w:cs="Times New Roman"/>
                <w:b/>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240" w:lineRule="exact"/>
              <w:ind w:firstLine="201" w:firstLineChars="100"/>
              <w:rPr>
                <w:b/>
                <w:color w:val="000000"/>
                <w:sz w:val="20"/>
              </w:rPr>
            </w:pPr>
          </w:p>
          <w:p>
            <w:pPr>
              <w:spacing w:line="360" w:lineRule="auto"/>
              <w:ind w:firstLine="210" w:firstLineChars="100"/>
              <w:rPr>
                <w:rFonts w:ascii="宋体" w:hAnsi="宋体" w:cs="宋体"/>
                <w:color w:val="000000"/>
                <w:sz w:val="21"/>
                <w:szCs w:val="21"/>
              </w:rPr>
            </w:pPr>
            <w:r>
              <w:rPr>
                <w:rFonts w:hint="eastAsia" w:ascii="宋体" w:hAnsi="宋体" w:cs="宋体"/>
                <w:color w:val="000000"/>
                <w:sz w:val="21"/>
                <w:szCs w:val="21"/>
              </w:rPr>
              <w:t>无</w:t>
            </w:r>
          </w:p>
          <w:p>
            <w:pPr>
              <w:spacing w:line="300" w:lineRule="exact"/>
              <w:ind w:firstLine="197" w:firstLineChars="98"/>
              <w:rPr>
                <w:rFonts w:ascii="Times New Roman" w:hAnsi="Times New Roman" w:eastAsia="宋体" w:cs="Times New Roman"/>
                <w:b/>
                <w:color w:val="000000"/>
                <w:kern w:val="2"/>
                <w:sz w:val="20"/>
                <w:lang w:val="en-US" w:eastAsia="zh-CN" w:bidi="ar-SA"/>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Times New Roman" w:hAnsi="Times New Roman" w:eastAsia="宋体" w:cs="Times New Roman"/>
                <w:b/>
                <w:color w:val="000000"/>
                <w:kern w:val="2"/>
                <w:sz w:val="18"/>
                <w:szCs w:val="18"/>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Theme="minorEastAsia" w:hAnsiTheme="minorEastAsia" w:eastAsiaTheme="minorEastAsia"/>
                <w:bCs/>
                <w:iCs/>
                <w:sz w:val="21"/>
                <w:szCs w:val="21"/>
                <w:lang w:val="en-US" w:eastAsia="zh-CN"/>
              </w:rPr>
              <w:t>火灾、触电、交通事故）</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Times New Roman" w:hAnsi="Times New Roman" w:eastAsia="宋体" w:cs="Times New Roman"/>
                <w:b/>
                <w:kern w:val="2"/>
                <w:sz w:val="24"/>
                <w:szCs w:val="21"/>
                <w:lang w:val="en-US" w:eastAsia="zh-CN" w:bidi="ar-SA"/>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rFonts w:ascii="宋体" w:hAnsi="宋体"/>
                <w:b/>
                <w:sz w:val="20"/>
              </w:rPr>
            </w:pPr>
            <w:r>
              <w:rPr>
                <w:rFonts w:ascii="宋体" w:hAnsi="宋体"/>
                <w:b/>
                <w:sz w:val="20"/>
              </w:rPr>
              <w:t xml:space="preserve">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hAnsi="Times New Roman" w:eastAsia="宋体" w:cs="Times New Roman"/>
                <w:b/>
                <w:kern w:val="2"/>
                <w:sz w:val="20"/>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w:t>
            </w:r>
            <w:r>
              <w:rPr>
                <w:rFonts w:hint="eastAsia" w:ascii="宋体" w:hAnsi="宋体" w:cs="宋体"/>
                <w:color w:val="000000"/>
                <w:sz w:val="21"/>
                <w:szCs w:val="21"/>
                <w:highlight w:val="none"/>
              </w:rPr>
              <w:t>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年1</w:t>
            </w:r>
            <w:r>
              <w:rPr>
                <w:rFonts w:hint="eastAsia" w:ascii="宋体" w:hAnsi="宋体" w:cs="宋体"/>
                <w:color w:val="000000"/>
                <w:sz w:val="21"/>
                <w:szCs w:val="21"/>
                <w:highlight w:val="none"/>
                <w:lang w:val="en-US" w:eastAsia="zh-CN"/>
              </w:rPr>
              <w:t>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2"/>
              </w:numPr>
              <w:spacing w:line="240" w:lineRule="exact"/>
              <w:ind w:left="100" w:hanging="100" w:hangingChars="50"/>
              <w:rPr>
                <w:b/>
                <w:color w:val="000000"/>
                <w:sz w:val="20"/>
              </w:rPr>
            </w:pPr>
            <w:r>
              <w:rPr>
                <w:rFonts w:hint="eastAsia"/>
                <w:b/>
                <w:color w:val="000000"/>
                <w:sz w:val="20"/>
              </w:rPr>
              <w:t>顾客满意</w:t>
            </w:r>
          </w:p>
          <w:p>
            <w:pPr>
              <w:spacing w:line="240" w:lineRule="exact"/>
              <w:ind w:left="-120" w:leftChars="-50" w:firstLine="420" w:firstLineChars="200"/>
              <w:rPr>
                <w:rFonts w:ascii="Times New Roman" w:hAnsi="Times New Roman" w:eastAsia="宋体" w:cs="Times New Roman"/>
                <w:b/>
                <w:color w:val="000000"/>
                <w:kern w:val="2"/>
                <w:sz w:val="20"/>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rPr>
              <w:t>施，20</w:t>
            </w:r>
            <w:r>
              <w:rPr>
                <w:rFonts w:hint="eastAsia" w:ascii="宋体" w:hAnsi="宋体" w:cs="宋体"/>
                <w:sz w:val="21"/>
                <w:szCs w:val="21"/>
                <w:lang w:val="en-US" w:eastAsia="zh-CN"/>
              </w:rPr>
              <w:t>20</w:t>
            </w:r>
            <w:r>
              <w:rPr>
                <w:rFonts w:hint="eastAsia" w:ascii="宋体" w:hAnsi="宋体" w:cs="宋体"/>
                <w:sz w:val="21"/>
                <w:szCs w:val="21"/>
              </w:rPr>
              <w:t>年3月实施，满意度评价9</w:t>
            </w:r>
            <w:r>
              <w:rPr>
                <w:rFonts w:hint="eastAsia" w:ascii="宋体" w:hAnsi="宋体" w:cs="宋体"/>
                <w:sz w:val="21"/>
                <w:szCs w:val="21"/>
                <w:lang w:val="en-US" w:eastAsia="zh-CN"/>
              </w:rPr>
              <w:t>7</w:t>
            </w:r>
            <w:r>
              <w:rPr>
                <w:rFonts w:hint="eastAsia" w:ascii="宋体" w:hAnsi="宋体" w:cs="宋体"/>
                <w:sz w:val="21"/>
                <w:szCs w:val="21"/>
              </w:rPr>
              <w:t>%，总体实现了顾客满意度的目标要求。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sz w:val="20"/>
              </w:rPr>
            </w:pPr>
            <w:r>
              <w:rPr>
                <w:b/>
                <w:sz w:val="20"/>
              </w:rPr>
              <w:t xml:space="preserve">3. </w:t>
            </w:r>
            <w:r>
              <w:rPr>
                <w:rFonts w:hint="eastAsia"/>
                <w:b/>
                <w:sz w:val="20"/>
              </w:rPr>
              <w:t>内审（包括内审策划审核方案中考虑拟审核的过程和区域的状况和重要性）</w:t>
            </w:r>
          </w:p>
          <w:p>
            <w:pPr>
              <w:spacing w:line="240" w:lineRule="exact"/>
              <w:rPr>
                <w:b/>
                <w:spacing w:val="-8"/>
                <w:sz w:val="20"/>
              </w:rPr>
            </w:pPr>
          </w:p>
          <w:p>
            <w:pPr>
              <w:spacing w:line="360" w:lineRule="auto"/>
              <w:ind w:firstLine="420" w:firstLineChars="200"/>
              <w:rPr>
                <w:rFonts w:ascii="Times New Roman" w:hAnsi="Times New Roman" w:eastAsia="宋体" w:cs="Times New Roman"/>
                <w:b/>
                <w:kern w:val="2"/>
                <w:sz w:val="20"/>
                <w:lang w:val="en-US" w:eastAsia="zh-CN" w:bidi="ar-SA"/>
              </w:rPr>
            </w:pPr>
            <w:r>
              <w:rPr>
                <w:rFonts w:hint="eastAsia" w:ascii="宋体" w:hAnsi="宋体" w:eastAsia="宋体" w:cs="宋体"/>
                <w:sz w:val="21"/>
                <w:szCs w:val="21"/>
              </w:rPr>
              <w:t>建立有《内部审核控制程序》，规定了内审频次一年一次，内审时间：20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年4月</w:t>
            </w:r>
            <w:r>
              <w:rPr>
                <w:rFonts w:hint="eastAsia" w:ascii="宋体" w:hAnsi="宋体" w:eastAsia="宋体" w:cs="宋体"/>
                <w:sz w:val="21"/>
                <w:szCs w:val="21"/>
                <w:lang w:val="en-US" w:eastAsia="zh-CN"/>
              </w:rPr>
              <w:t>1</w:t>
            </w:r>
            <w:r>
              <w:rPr>
                <w:rFonts w:hint="eastAsia" w:ascii="宋体" w:hAnsi="宋体" w:eastAsia="宋体" w:cs="宋体"/>
                <w:sz w:val="21"/>
                <w:szCs w:val="21"/>
              </w:rPr>
              <w:t>日，拟定了审核实施表，明确了内审范围，内审人员经培训合格上岗，能力满足要求，未出现审核本部门情况，内审不符合项</w:t>
            </w:r>
            <w:r>
              <w:rPr>
                <w:rFonts w:hint="eastAsia" w:ascii="宋体" w:hAnsi="宋体" w:eastAsia="宋体" w:cs="宋体"/>
                <w:sz w:val="21"/>
                <w:szCs w:val="21"/>
                <w:lang w:val="en-US" w:eastAsia="zh-CN"/>
              </w:rPr>
              <w:t>1</w:t>
            </w:r>
            <w:r>
              <w:rPr>
                <w:rFonts w:hint="eastAsia" w:ascii="宋体" w:hAnsi="宋体" w:eastAsia="宋体" w:cs="宋体"/>
                <w:sz w:val="21"/>
                <w:szCs w:val="21"/>
              </w:rPr>
              <w:t>项，涉及行政部</w:t>
            </w:r>
            <w:r>
              <w:rPr>
                <w:rFonts w:hint="eastAsia" w:ascii="宋体" w:hAnsi="宋体" w:eastAsia="宋体" w:cs="宋体"/>
                <w:sz w:val="21"/>
                <w:szCs w:val="21"/>
                <w:lang w:val="en-US" w:eastAsia="zh-CN"/>
              </w:rPr>
              <w:t>E8</w:t>
            </w:r>
            <w:r>
              <w:rPr>
                <w:rFonts w:hint="eastAsia" w:ascii="宋体" w:hAnsi="宋体" w:eastAsia="宋体" w:cs="宋体"/>
                <w:sz w:val="21"/>
                <w:szCs w:val="21"/>
              </w:rPr>
              <w:t>.</w:t>
            </w:r>
            <w:r>
              <w:rPr>
                <w:rFonts w:hint="eastAsia" w:ascii="宋体" w:hAnsi="宋体" w:eastAsia="宋体" w:cs="宋体"/>
                <w:sz w:val="21"/>
                <w:szCs w:val="21"/>
                <w:lang w:val="en-US" w:eastAsia="zh-CN"/>
              </w:rPr>
              <w:t>2/S4.4.7</w:t>
            </w:r>
            <w:r>
              <w:rPr>
                <w:rFonts w:hint="eastAsia" w:ascii="宋体" w:hAnsi="宋体" w:eastAsia="宋体" w:cs="宋体"/>
                <w:sz w:val="21"/>
                <w:szCs w:val="21"/>
              </w:rPr>
              <w:t>条款</w:t>
            </w:r>
            <w:r>
              <w:rPr>
                <w:rFonts w:hint="eastAsia" w:ascii="宋体" w:hAnsi="宋体" w:eastAsia="宋体" w:cs="宋体"/>
                <w:sz w:val="21"/>
                <w:szCs w:val="21"/>
                <w:lang w:val="en-US" w:eastAsia="zh-CN"/>
              </w:rPr>
              <w:t>公司的消防演习计划在2020年2月15日，但未见消防演习的相关记录</w:t>
            </w:r>
            <w:r>
              <w:rPr>
                <w:rFonts w:hint="eastAsia" w:ascii="宋体" w:hAnsi="宋体" w:eastAsia="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sz w:val="20"/>
              </w:rPr>
            </w:pPr>
            <w:r>
              <w:rPr>
                <w:b/>
                <w:sz w:val="20"/>
              </w:rPr>
              <w:t>4.</w:t>
            </w:r>
            <w:r>
              <w:rPr>
                <w:rFonts w:hint="eastAsia"/>
                <w:b/>
                <w:sz w:val="20"/>
              </w:rPr>
              <w:t>管理评审（管理评审体系变更需求，纠正和预防措施、体系有效性等）</w:t>
            </w:r>
          </w:p>
          <w:p>
            <w:pPr>
              <w:spacing w:line="240" w:lineRule="exact"/>
              <w:rPr>
                <w:rFonts w:ascii="Times New Roman" w:hAnsi="Times New Roman" w:eastAsia="宋体" w:cs="Times New Roman"/>
                <w:b/>
                <w:kern w:val="2"/>
                <w:sz w:val="20"/>
                <w:lang w:val="en-US" w:eastAsia="zh-CN" w:bidi="ar-SA"/>
              </w:rPr>
            </w:pPr>
            <w:r>
              <w:rPr>
                <w:rFonts w:hint="eastAsia"/>
                <w:b/>
                <w:sz w:val="20"/>
              </w:rPr>
              <w:t xml:space="preserve">    </w:t>
            </w:r>
            <w:r>
              <w:rPr>
                <w:rFonts w:hint="eastAsia" w:ascii="宋体" w:hAnsi="宋体" w:cs="宋体"/>
                <w:sz w:val="21"/>
                <w:szCs w:val="21"/>
              </w:rPr>
              <w:t>管理评审频次</w:t>
            </w:r>
            <w:r>
              <w:rPr>
                <w:rFonts w:hint="eastAsia" w:ascii="宋体" w:hAnsi="宋体" w:eastAsia="宋体" w:cs="宋体"/>
                <w:sz w:val="21"/>
                <w:szCs w:val="21"/>
              </w:rPr>
              <w:t>为一年一次、本次管理评审于</w:t>
            </w:r>
            <w:r>
              <w:rPr>
                <w:rFonts w:hint="eastAsia" w:ascii="宋体" w:hAnsi="宋体" w:eastAsia="宋体" w:cs="宋体"/>
                <w:sz w:val="21"/>
                <w:szCs w:val="21"/>
                <w:lang w:val="en-US" w:eastAsia="zh-CN"/>
              </w:rPr>
              <w:t>2020年4月25日</w:t>
            </w:r>
            <w:r>
              <w:rPr>
                <w:rFonts w:hint="eastAsia" w:ascii="宋体" w:hAnsi="宋体" w:eastAsia="宋体" w:cs="宋体"/>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lang w:val="en-US" w:eastAsia="zh-CN" w:bidi="ar-SA"/>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lang w:val="en-US" w:eastAsia="zh-CN" w:bidi="ar-SA"/>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0"/>
                <w:lang w:val="en-US" w:eastAsia="zh-CN" w:bidi="ar-SA"/>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rFonts w:ascii="Times New Roman" w:hAnsi="Times New Roman" w:eastAsia="宋体" w:cs="Times New Roman"/>
                <w:b/>
                <w:kern w:val="2"/>
                <w:sz w:val="20"/>
                <w:lang w:val="en-US" w:eastAsia="zh-CN" w:bidi="ar-SA"/>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rFonts w:ascii="Times New Roman" w:hAnsi="Times New Roman" w:eastAsia="宋体" w:cs="Times New Roman"/>
                <w:b/>
                <w:kern w:val="2"/>
                <w:sz w:val="20"/>
                <w:lang w:val="en-US" w:eastAsia="zh-CN" w:bidi="ar-SA"/>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ind w:firstLine="482" w:firstLineChars="200"/>
              <w:rPr>
                <w:rFonts w:ascii="Times New Roman" w:hAnsi="Times New Roman" w:eastAsia="宋体" w:cs="Times New Roman"/>
                <w:b/>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ascii="Times New Roman" w:hAnsi="Times New Roman" w:eastAsia="宋体" w:cs="Times New Roman"/>
                <w:b/>
                <w:kern w:val="2"/>
                <w:sz w:val="24"/>
                <w:szCs w:val="21"/>
                <w:lang w:val="en-US" w:eastAsia="zh-CN" w:bidi="ar-SA"/>
              </w:rPr>
            </w:pPr>
            <w:r>
              <w:rPr>
                <w:rFonts w:hint="eastAsia"/>
                <w:b/>
                <w:spacing w:val="-2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120" w:leftChars="0" w:hanging="120" w:hangingChars="50"/>
              <w:rPr>
                <w:rFonts w:hint="eastAsia"/>
                <w:b/>
                <w:bCs/>
              </w:rPr>
            </w:pPr>
            <w:r>
              <w:rPr>
                <w:rFonts w:hint="eastAsia"/>
                <w:b/>
                <w:bCs/>
              </w:rPr>
              <w:t>创新情况</w:t>
            </w:r>
          </w:p>
          <w:p>
            <w:pPr>
              <w:pStyle w:val="2"/>
              <w:numPr>
                <w:ilvl w:val="0"/>
                <w:numId w:val="0"/>
              </w:numPr>
              <w:ind w:leftChars="-5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rFonts w:ascii="Times New Roman" w:hAnsi="Times New Roman" w:eastAsia="宋体" w:cs="Times New Roman"/>
                <w:b/>
                <w:kern w:val="2"/>
                <w:sz w:val="24"/>
                <w:szCs w:val="21"/>
                <w:lang w:val="en-US" w:eastAsia="zh-CN" w:bidi="ar-SA"/>
              </w:rPr>
            </w:pPr>
            <w:r>
              <w:rPr>
                <w:rFonts w:hint="eastAsia"/>
                <w:b/>
                <w:szCs w:val="21"/>
              </w:rPr>
              <w:t>上次不符合为E</w:t>
            </w:r>
            <w:r>
              <w:rPr>
                <w:rFonts w:hint="eastAsia"/>
                <w:b/>
                <w:szCs w:val="21"/>
                <w:lang w:val="en-US" w:eastAsia="zh-CN"/>
              </w:rPr>
              <w:t>9.1.1</w:t>
            </w:r>
            <w:r>
              <w:rPr>
                <w:rFonts w:hint="eastAsia"/>
                <w:b/>
                <w:szCs w:val="21"/>
              </w:rPr>
              <w:t>/S4.</w:t>
            </w:r>
            <w:r>
              <w:rPr>
                <w:rFonts w:hint="eastAsia"/>
                <w:b/>
                <w:szCs w:val="21"/>
                <w:lang w:val="en-US" w:eastAsia="zh-CN"/>
              </w:rPr>
              <w:t>5.1</w:t>
            </w:r>
            <w:r>
              <w:rPr>
                <w:rFonts w:hint="eastAsia"/>
                <w:b/>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ascii="宋体" w:hAnsi="宋体"/>
          <w:b/>
          <w:bCs/>
          <w:kern w:val="0"/>
          <w:sz w:val="22"/>
          <w:szCs w:val="22"/>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bCs/>
          <w:kern w:val="0"/>
          <w:sz w:val="22"/>
          <w:szCs w:val="22"/>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0" w:leftChars="0" w:firstLine="663" w:firstLineChars="275"/>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 xml:space="preserve">1 </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 xml:space="preserve"> 0 </w:t>
      </w:r>
      <w:r>
        <w:rPr>
          <w:rFonts w:hint="eastAsia" w:ascii="宋体" w:hAnsi="宋体"/>
          <w:b/>
          <w:szCs w:val="21"/>
        </w:rPr>
        <w:t>项，一般不符合</w:t>
      </w:r>
      <w:r>
        <w:rPr>
          <w:rFonts w:hint="eastAsia" w:ascii="宋体" w:hAnsi="宋体"/>
          <w:b/>
          <w:szCs w:val="21"/>
          <w:lang w:val="en-US" w:eastAsia="zh-CN"/>
        </w:rPr>
        <w:t xml:space="preserve">1 </w:t>
      </w:r>
      <w:r>
        <w:rPr>
          <w:rFonts w:hint="eastAsia" w:ascii="宋体" w:hAnsi="宋体"/>
          <w:b/>
          <w:szCs w:val="21"/>
        </w:rPr>
        <w:t>项，观察项</w:t>
      </w:r>
      <w:r>
        <w:rPr>
          <w:rFonts w:hint="eastAsia" w:ascii="宋体" w:hAnsi="宋体"/>
          <w:b/>
          <w:szCs w:val="21"/>
          <w:lang w:val="en-US" w:eastAsia="zh-CN"/>
        </w:rPr>
        <w:t xml:space="preserve"> 0 </w:t>
      </w:r>
      <w:r>
        <w:rPr>
          <w:rFonts w:hint="eastAsia" w:ascii="宋体" w:hAnsi="宋体"/>
          <w:b/>
          <w:szCs w:val="21"/>
        </w:rPr>
        <w:t>项</w:t>
      </w:r>
      <w:r>
        <w:rPr>
          <w:rFonts w:hint="eastAsia" w:ascii="宋体" w:hAnsi="宋体"/>
          <w:b/>
          <w:szCs w:val="21"/>
          <w:lang w:eastAsia="zh-CN"/>
        </w:rPr>
        <w:t>，</w:t>
      </w:r>
      <w:r>
        <w:rPr>
          <w:rFonts w:hint="eastAsia" w:ascii="宋体" w:hAnsi="宋体"/>
          <w:b/>
          <w:szCs w:val="21"/>
        </w:rPr>
        <w:t>分布在</w:t>
      </w:r>
      <w:r>
        <w:rPr>
          <w:rFonts w:hint="eastAsia" w:ascii="宋体" w:hAnsi="宋体"/>
          <w:b/>
          <w:szCs w:val="21"/>
          <w:lang w:val="en-US" w:eastAsia="zh-CN"/>
        </w:rPr>
        <w:t>供销部</w:t>
      </w:r>
      <w:r>
        <w:rPr>
          <w:rFonts w:hint="eastAsia" w:ascii="宋体" w:hAnsi="宋体"/>
          <w:b/>
          <w:szCs w:val="21"/>
        </w:rPr>
        <w:t>部门条款</w:t>
      </w:r>
      <w:r>
        <w:rPr>
          <w:rFonts w:hint="eastAsia" w:ascii="宋体" w:hAnsi="宋体"/>
          <w:b/>
          <w:szCs w:val="21"/>
          <w:lang w:val="en-US" w:eastAsia="zh-CN"/>
        </w:rPr>
        <w:t>Q8.7</w:t>
      </w:r>
      <w:r>
        <w:rPr>
          <w:rFonts w:hint="eastAsia" w:ascii="宋体" w:hAnsi="宋体"/>
          <w:b/>
          <w:szCs w:val="21"/>
        </w:rPr>
        <w:t>，见不符合项分布表。（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bCs/>
                <w:kern w:val="0"/>
                <w:sz w:val="22"/>
                <w:szCs w:val="22"/>
              </w:rPr>
              <w:t>■</w:t>
            </w:r>
            <w:r>
              <w:rPr>
                <w:rFonts w:ascii="宋体" w:hAnsi="宋体"/>
                <w:b/>
                <w:szCs w:val="21"/>
              </w:rPr>
              <w:t>QMS</w:t>
            </w:r>
            <w:r>
              <w:rPr>
                <w:rFonts w:hint="eastAsia" w:ascii="宋体" w:hAnsi="宋体"/>
                <w:b/>
                <w:szCs w:val="21"/>
              </w:rPr>
              <w:t>□50430</w:t>
            </w:r>
            <w:r>
              <w:rPr>
                <w:rFonts w:hint="eastAsia" w:ascii="宋体" w:hAnsi="宋体"/>
                <w:b/>
                <w:bCs/>
                <w:kern w:val="0"/>
                <w:sz w:val="22"/>
                <w:szCs w:val="22"/>
              </w:rPr>
              <w:t>■</w:t>
            </w:r>
            <w:r>
              <w:rPr>
                <w:rFonts w:ascii="宋体" w:hAnsi="宋体"/>
                <w:b/>
                <w:szCs w:val="21"/>
              </w:rPr>
              <w:t xml:space="preserve">EMS </w:t>
            </w:r>
            <w:r>
              <w:rPr>
                <w:rFonts w:hint="eastAsia" w:ascii="宋体" w:hAnsi="宋体"/>
                <w:b/>
                <w:bCs/>
                <w:kern w:val="0"/>
                <w:sz w:val="22"/>
                <w:szCs w:val="22"/>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cs="宋体"/>
                <w:bCs/>
                <w:color w:val="4E4E4E"/>
                <w:kern w:val="36"/>
                <w:szCs w:val="21"/>
              </w:rPr>
              <w:t>重庆龙杭实业有限公司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31" w:firstLineChars="150"/>
              <w:rPr>
                <w:rFonts w:ascii="宋体" w:hAnsi="宋体"/>
                <w:b/>
                <w:szCs w:val="21"/>
              </w:rPr>
            </w:pPr>
            <w:r>
              <w:rPr>
                <w:rFonts w:hint="eastAsia" w:ascii="宋体" w:hAnsi="宋体"/>
                <w:b/>
                <w:bCs/>
                <w:kern w:val="0"/>
                <w:sz w:val="22"/>
                <w:szCs w:val="22"/>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bCs/>
                <w:kern w:val="0"/>
                <w:sz w:val="22"/>
                <w:szCs w:val="22"/>
              </w:rPr>
              <w:t>■</w:t>
            </w:r>
            <w:r>
              <w:rPr>
                <w:rFonts w:ascii="宋体" w:hAnsi="宋体"/>
                <w:b/>
                <w:szCs w:val="21"/>
              </w:rPr>
              <w:t>QMS</w:t>
            </w:r>
            <w:r>
              <w:rPr>
                <w:rFonts w:hint="eastAsia" w:ascii="宋体" w:hAnsi="宋体"/>
                <w:b/>
                <w:szCs w:val="21"/>
              </w:rPr>
              <w:t>□50430</w:t>
            </w:r>
            <w:r>
              <w:rPr>
                <w:rFonts w:hint="eastAsia" w:ascii="宋体" w:hAnsi="宋体"/>
                <w:b/>
                <w:bCs/>
                <w:kern w:val="0"/>
                <w:sz w:val="22"/>
                <w:szCs w:val="22"/>
              </w:rPr>
              <w:t>■</w:t>
            </w:r>
            <w:r>
              <w:rPr>
                <w:rFonts w:ascii="宋体" w:hAnsi="宋体"/>
                <w:b/>
                <w:szCs w:val="21"/>
              </w:rPr>
              <w:t xml:space="preserve">EMS  </w:t>
            </w:r>
            <w:r>
              <w:rPr>
                <w:rFonts w:hint="eastAsia" w:ascii="宋体" w:hAnsi="宋体"/>
                <w:b/>
                <w:bCs/>
                <w:kern w:val="0"/>
                <w:sz w:val="22"/>
                <w:szCs w:val="22"/>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 xml:space="preserve">60  </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2020.9.18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b/>
          <w:sz w:val="21"/>
          <w:szCs w:val="21"/>
        </w:rPr>
      </w:pPr>
      <w:r>
        <w:rPr>
          <w:rFonts w:hint="eastAsia" w:ascii="宋体" w:hAnsi="宋体"/>
          <w:b/>
          <w:bCs/>
          <w:kern w:val="0"/>
          <w:sz w:val="22"/>
          <w:szCs w:val="22"/>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A48C3FD"/>
    <w:multiLevelType w:val="singleLevel"/>
    <w:tmpl w:val="1A48C3FD"/>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672BCF"/>
    <w:rsid w:val="27A1215C"/>
    <w:rsid w:val="57F671A6"/>
    <w:rsid w:val="66602CFD"/>
    <w:rsid w:val="6D70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lock Text"/>
    <w:basedOn w:val="1"/>
    <w:qFormat/>
    <w:uiPriority w:val="0"/>
    <w:pPr>
      <w:tabs>
        <w:tab w:val="left" w:pos="709"/>
        <w:tab w:val="left" w:pos="1069"/>
        <w:tab w:val="left" w:pos="2149"/>
      </w:tabs>
      <w:ind w:left="1429" w:right="194"/>
    </w:pPr>
    <w:rPr>
      <w:rFonts w:ascii="楷体_GB2312" w:eastAsia="楷体_GB2312"/>
    </w:rPr>
  </w:style>
  <w:style w:type="paragraph" w:styleId="5">
    <w:name w:val="Balloon Text"/>
    <w:basedOn w:val="1"/>
    <w:link w:val="11"/>
    <w:semiHidden/>
    <w:qFormat/>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semiHidden/>
    <w:qFormat/>
    <w:locked/>
    <w:uiPriority w:val="99"/>
    <w:rPr>
      <w:rFonts w:ascii="Times New Roman" w:hAnsi="Times New Roman" w:eastAsia="宋体" w:cs="Times New Roman"/>
      <w:sz w:val="18"/>
      <w:szCs w:val="18"/>
    </w:rPr>
  </w:style>
  <w:style w:type="character" w:customStyle="1" w:styleId="13">
    <w:name w:val="页眉 Char"/>
    <w:link w:val="7"/>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2020-09-18T02:31:57Z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