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重庆龙杭实业有限公司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销售流程：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客户需求----签订合同---进行采购----产品检验----交付客户---验收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销售服务过程风险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产品样式</w:t>
            </w:r>
            <w:r>
              <w:rPr>
                <w:rFonts w:hint="eastAsia" w:ascii="宋体" w:hAnsi="宋体"/>
                <w:sz w:val="21"/>
                <w:szCs w:val="21"/>
              </w:rPr>
              <w:t>、外观质量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交付不准时等造成顾客拒收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</w:p>
          <w:p>
            <w:pPr>
              <w:spacing w:line="46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风险</w:t>
            </w:r>
            <w:r>
              <w:rPr>
                <w:rFonts w:hint="eastAsia" w:ascii="宋体" w:hAnsi="宋体"/>
                <w:sz w:val="21"/>
                <w:szCs w:val="21"/>
              </w:rPr>
              <w:t>控制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通过合同评审，供方的选择、产品采购控制和销售服务作业流程控制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jc w:val="left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硅藻土百叶窗帘和百叶窗用叶片DB22/T 2227-2014、窗帘用经编面料FZ/T 72019-2013、国家纺织产品基本安全技术规范GB18401-2010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布料材质、样式、</w:t>
            </w:r>
            <w:r>
              <w:rPr>
                <w:rFonts w:hint="eastAsia" w:ascii="宋体" w:hAnsi="宋体"/>
                <w:sz w:val="21"/>
                <w:szCs w:val="21"/>
              </w:rPr>
              <w:t>尺寸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等；</w:t>
            </w:r>
          </w:p>
          <w:p>
            <w:pPr>
              <w:spacing w:line="460" w:lineRule="atLeas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关键控制点：销售过程控制。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2020.9.17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2020.9.17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E129E0"/>
    <w:rsid w:val="4CC5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2020-09-17T06:51:50Z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